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宋体" w:hAnsi="宋体" w:cs="宋体"/>
          <w:b/>
          <w:bCs/>
          <w:color w:val="000000"/>
          <w:sz w:val="52"/>
          <w:szCs w:val="52"/>
        </w:rPr>
      </w:pPr>
      <w:bookmarkStart w:id="0" w:name="PO_title1"/>
      <w:r>
        <w:rPr>
          <w:rFonts w:hint="eastAsia" w:ascii="宋体" w:hAnsi="宋体" w:cs="宋体"/>
          <w:b/>
          <w:bCs/>
          <w:color w:val="000000"/>
          <w:sz w:val="52"/>
          <w:szCs w:val="52"/>
        </w:rPr>
        <w:t xml:space="preserve"> </w:t>
      </w:r>
      <w:r>
        <w:rPr>
          <w:rFonts w:hint="eastAsia" w:ascii="宋体" w:hAnsi="宋体" w:cs="宋体"/>
          <w:b/>
          <w:bCs/>
          <w:color w:val="000000"/>
          <w:sz w:val="52"/>
          <w:szCs w:val="52"/>
          <w:lang w:val="en-US" w:eastAsia="zh-CN"/>
        </w:rPr>
        <w:t>百色市反腐倡廉教育基地管理中心</w:t>
      </w:r>
      <w:r>
        <w:rPr>
          <w:rFonts w:hint="eastAsia" w:ascii="宋体" w:hAnsi="宋体" w:cs="宋体"/>
          <w:b/>
          <w:bCs/>
          <w:color w:val="000000"/>
          <w:sz w:val="11"/>
          <w:szCs w:val="11"/>
        </w:rPr>
        <w:t xml:space="preserve"> </w:t>
      </w:r>
      <w:bookmarkEnd w:id="0"/>
    </w:p>
    <w:p>
      <w:pPr>
        <w:jc w:val="center"/>
        <w:rPr>
          <w:rFonts w:hint="eastAsia"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52"/>
          <w:szCs w:val="52"/>
          <w:lang w:val="en-US" w:eastAsia="zh-CN"/>
        </w:rPr>
        <w:t>2025</w:t>
      </w:r>
      <w:r>
        <w:rPr>
          <w:rFonts w:hint="eastAsia" w:ascii="宋体" w:hAnsi="宋体" w:cs="宋体"/>
          <w:b/>
          <w:bCs/>
          <w:color w:val="000000"/>
          <w:sz w:val="52"/>
          <w:szCs w:val="52"/>
        </w:rPr>
        <w:t>年度部门预算</w:t>
      </w:r>
    </w:p>
    <w:p>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outlineLvl w:val="9"/>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hint="eastAsia" w:ascii="黑体" w:hAnsi="黑体" w:eastAsia="黑体" w:cs="黑体"/>
          <w:b/>
          <w:sz w:val="32"/>
          <w:szCs w:val="32"/>
          <w:lang w:val="en-US" w:eastAsia="zh-CN"/>
        </w:rPr>
        <w:t>百色市反腐倡廉教育基地管理中心</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0"/>
        </w:numPr>
        <w:ind w:firstLine="640" w:firstLineChars="200"/>
        <w:rPr>
          <w:rFonts w:ascii="黑体" w:hAnsi="黑体" w:eastAsia="黑体" w:cs="仿宋_GB2312"/>
          <w:sz w:val="32"/>
          <w:szCs w:val="32"/>
        </w:rPr>
      </w:pPr>
      <w:r>
        <w:rPr>
          <w:rFonts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主要职责</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二、</w:t>
      </w:r>
      <w:r>
        <w:rPr>
          <w:rFonts w:hint="eastAsia" w:ascii="黑体" w:hAnsi="黑体" w:eastAsia="黑体" w:cs="仿宋_GB2312"/>
          <w:sz w:val="32"/>
          <w:szCs w:val="32"/>
        </w:rPr>
        <w:t>部门机构设置</w:t>
      </w:r>
    </w:p>
    <w:p>
      <w:pPr>
        <w:numPr>
          <w:ilvl w:val="0"/>
          <w:numId w:val="0"/>
        </w:numPr>
        <w:ind w:firstLine="640" w:firstLineChars="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三、</w:t>
      </w:r>
      <w:r>
        <w:rPr>
          <w:rFonts w:hint="eastAsia" w:ascii="黑体" w:hAnsi="黑体" w:eastAsia="黑体" w:cs="仿宋_GB2312"/>
          <w:sz w:val="32"/>
          <w:szCs w:val="32"/>
        </w:rPr>
        <w:t>部门预算构成</w:t>
      </w:r>
    </w:p>
    <w:p>
      <w:pPr>
        <w:ind w:left="2244" w:leftChars="304" w:hanging="1606" w:hangingChars="500"/>
        <w:outlineLvl w:val="9"/>
        <w:rPr>
          <w:rFonts w:ascii="黑体" w:hAnsi="黑体" w:eastAsia="黑体" w:cs="仿宋_GB2312"/>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lang w:val="en-US" w:eastAsia="zh-CN"/>
        </w:rPr>
        <w:t>百色市反腐倡廉教育基地管理中心 2025</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r>
        <w:rPr>
          <w:rFonts w:hint="eastAsia" w:ascii="黑体" w:hAnsi="黑体" w:eastAsia="黑体" w:cs="仿宋_GB2312"/>
          <w:sz w:val="32"/>
          <w:szCs w:val="32"/>
        </w:rPr>
        <w:t xml:space="preserve"> </w:t>
      </w:r>
    </w:p>
    <w:p>
      <w:pPr>
        <w:ind w:left="2244" w:leftChars="304" w:hanging="1606" w:hangingChars="5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lang w:val="en-US" w:eastAsia="zh-CN"/>
        </w:rPr>
        <w:t>百色市反腐倡廉教育基地管理中心 2025</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outlineLvl w:val="0"/>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rPr>
        <w:t xml:space="preserve">第一部分  </w:t>
      </w:r>
      <w:bookmarkStart w:id="4" w:name="PO_part1DivName1"/>
      <w:r>
        <w:rPr>
          <w:rFonts w:hint="eastAsia" w:ascii="黑体" w:hAnsi="黑体" w:eastAsia="黑体" w:cs="方正小标宋简体"/>
          <w:sz w:val="44"/>
          <w:szCs w:val="44"/>
          <w:lang w:val="en-US" w:eastAsia="zh-CN"/>
        </w:rPr>
        <w:t>百色市反腐倡廉教育基地</w:t>
      </w:r>
    </w:p>
    <w:p>
      <w:pPr>
        <w:jc w:val="center"/>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lang w:val="en-US" w:eastAsia="zh-CN"/>
        </w:rPr>
        <w:t>管理中心</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5" w:name="PO_part1Responsibilities"/>
      <w:r>
        <w:rPr>
          <w:rFonts w:ascii="仿宋_GB2312" w:hAnsi="仿宋_GB2312" w:eastAsia="仿宋_GB2312" w:cs="仿宋_GB2312"/>
          <w:sz w:val="32"/>
          <w:szCs w:val="32"/>
        </w:rPr>
        <w:t xml:space="preserve"> </w:t>
      </w:r>
      <w:r>
        <w:rPr>
          <w:rFonts w:hint="eastAsia" w:ascii="仿宋_GB2312" w:eastAsia="仿宋_GB2312"/>
          <w:sz w:val="30"/>
          <w:szCs w:val="30"/>
        </w:rPr>
        <w:t xml:space="preserve"> 本部门包括3个事业二层机构，主要职能如下：</w:t>
      </w:r>
      <w:r>
        <w:rPr>
          <w:rFonts w:hint="eastAsia" w:ascii="仿宋_GB2312" w:eastAsia="仿宋_GB2312"/>
          <w:sz w:val="30"/>
          <w:szCs w:val="30"/>
        </w:rPr>
        <w:br w:type="textWrapping"/>
      </w:r>
      <w:r>
        <w:rPr>
          <w:rFonts w:hint="eastAsia" w:ascii="仿宋_GB2312" w:eastAsia="仿宋_GB2312"/>
          <w:sz w:val="30"/>
          <w:szCs w:val="30"/>
        </w:rPr>
        <w:t>　</w:t>
      </w:r>
      <w:r>
        <w:rPr>
          <w:rFonts w:hint="eastAsia" w:ascii="仿宋_GB2312" w:eastAsia="仿宋_GB2312"/>
          <w:sz w:val="30"/>
          <w:szCs w:val="30"/>
          <w:lang w:val="en-US" w:eastAsia="zh-CN"/>
        </w:rPr>
        <w:t xml:space="preserve"> </w:t>
      </w:r>
      <w:r>
        <w:rPr>
          <w:rFonts w:hint="eastAsia" w:ascii="仿宋_GB2312" w:eastAsia="仿宋_GB2312"/>
          <w:sz w:val="30"/>
          <w:szCs w:val="30"/>
        </w:rPr>
        <w:t>（一）根据《关于成立中共百色市纪委反腐倡廉信息教育管理中心的批复》（百编〔2013〕113号），百色市纪委反腐倡廉信息教育管理中心主要职责：承担全市反腐倡廉建设电化教育工作，负责编辑制作全市反腐倡廉专题教育教材，在市级主要媒体（含互联网站）承办反腐倡廉专题教育栏目，指导县级纪检监察机关及有关部门编辑制作教材（课件）、电教片等工作，负责建立、管理纪检监察机关对外宣传网站，指导县级纪检监察机关开展反腐倡廉网络宣传工作，负责全市反腐倡廉网络舆情信息处置人员队伍和反腐倡廉网络评论员队伍建设、业务培训和管理，负责反腐倡廉网络舆情信息收集、研制处置工作，编辑、出版市纪委监察局主办的工作指导类内刊，负责反腐倡廉报刊及电教片等的发行工作，承担市纪委交办的其他工作任务。</w:t>
      </w:r>
      <w:r>
        <w:rPr>
          <w:rFonts w:hint="eastAsia" w:ascii="仿宋_GB2312" w:eastAsia="仿宋_GB2312"/>
          <w:sz w:val="30"/>
          <w:szCs w:val="30"/>
        </w:rPr>
        <w:br w:type="textWrapping"/>
      </w:r>
      <w:r>
        <w:rPr>
          <w:rFonts w:hint="eastAsia" w:ascii="仿宋_GB2312" w:eastAsia="仿宋_GB2312"/>
          <w:sz w:val="30"/>
          <w:szCs w:val="30"/>
        </w:rPr>
        <w:t>　</w:t>
      </w:r>
      <w:r>
        <w:rPr>
          <w:rFonts w:hint="eastAsia" w:ascii="仿宋_GB2312" w:eastAsia="仿宋_GB2312"/>
          <w:sz w:val="30"/>
          <w:szCs w:val="30"/>
          <w:lang w:val="en-US" w:eastAsia="zh-CN"/>
        </w:rPr>
        <w:t xml:space="preserve"> </w:t>
      </w:r>
      <w:r>
        <w:rPr>
          <w:rFonts w:hint="eastAsia" w:ascii="仿宋_GB2312" w:eastAsia="仿宋_GB2312"/>
          <w:sz w:val="30"/>
          <w:szCs w:val="30"/>
        </w:rPr>
        <w:t>（二）根据《关于成立百色市纪检监察办案点管理办公室的批复》（百编〔2015〕117号）(2019年12月更名为百色市反腐倡廉教育基地管理中心（百编〔2019〕83号），</w:t>
      </w:r>
      <w:bookmarkStart w:id="6" w:name="OLE_LINK1"/>
      <w:r>
        <w:rPr>
          <w:rFonts w:hint="eastAsia" w:ascii="仿宋_GB2312" w:eastAsia="仿宋_GB2312"/>
          <w:sz w:val="30"/>
          <w:szCs w:val="30"/>
        </w:rPr>
        <w:t>百色市反腐倡廉教育基地管理中心</w:t>
      </w:r>
      <w:bookmarkEnd w:id="6"/>
      <w:r>
        <w:rPr>
          <w:rFonts w:hint="eastAsia" w:ascii="仿宋_GB2312" w:eastAsia="仿宋_GB2312"/>
          <w:sz w:val="30"/>
          <w:szCs w:val="30"/>
        </w:rPr>
        <w:t xml:space="preserve">的主要职责：承担中心的日常管理，负责设备、设施的维护和维修工作；负责后勤工作；承担市纪委、监委交办的其他工作任务。 </w:t>
      </w:r>
      <w:r>
        <w:rPr>
          <w:rFonts w:hint="eastAsia" w:ascii="仿宋_GB2312" w:eastAsia="仿宋_GB2312"/>
          <w:sz w:val="30"/>
          <w:szCs w:val="30"/>
        </w:rPr>
        <w:br w:type="textWrapping"/>
      </w:r>
      <w:r>
        <w:rPr>
          <w:rFonts w:hint="eastAsia" w:ascii="仿宋_GB2312" w:eastAsia="仿宋_GB2312"/>
          <w:sz w:val="30"/>
          <w:szCs w:val="30"/>
        </w:rPr>
        <w:t>　</w:t>
      </w:r>
      <w:r>
        <w:rPr>
          <w:rFonts w:hint="eastAsia" w:ascii="仿宋_GB2312" w:eastAsia="仿宋_GB2312"/>
          <w:sz w:val="30"/>
          <w:szCs w:val="30"/>
          <w:lang w:val="en-US" w:eastAsia="zh-CN"/>
        </w:rPr>
        <w:t xml:space="preserve">  </w:t>
      </w:r>
      <w:r>
        <w:rPr>
          <w:rFonts w:hint="eastAsia" w:ascii="仿宋_GB2312" w:eastAsia="仿宋_GB2312"/>
          <w:sz w:val="30"/>
          <w:szCs w:val="30"/>
        </w:rPr>
        <w:t>（三）根据《关于成立百色市委巡察工作信息中心的批复》（百编办[2021]54号），市委巡察工作信息中心主要职责：负责全市巡察机构巡察信息化的实施、协调及管理。负责全市巡察工作宣传、信息收集、管理和数据的统计分析和系统维护，并对各县(市、区)巡察数据管理作进行业务指导。负责全市巡察档案的收集、整理和归档。负责建立巡视巡察基础数据库，推进巡视巡察档案数字化。负责推进巡察与纪委、组织、宣传、政法、审计、财政、信访、统计等有关职能部门（单位）监督的信息共享，完成市委巡察工作领导小组办公室交办的其他工作</w:t>
      </w:r>
      <w:r>
        <w:rPr>
          <w:rFonts w:hint="eastAsia" w:ascii="仿宋_GB2312" w:eastAsia="仿宋_GB2312"/>
          <w:sz w:val="30"/>
          <w:szCs w:val="30"/>
          <w:lang w:eastAsia="zh-CN"/>
        </w:rPr>
        <w:t>。</w:t>
      </w:r>
      <w:r>
        <w:rPr>
          <w:rFonts w:hint="eastAsia" w:ascii="仿宋_GB2312" w:eastAsia="仿宋_GB2312"/>
          <w:sz w:val="30"/>
          <w:szCs w:val="30"/>
          <w:lang w:val="en-US" w:eastAsia="zh-CN"/>
        </w:rPr>
        <w:t xml:space="preserve"> </w:t>
      </w:r>
      <w:bookmarkEnd w:id="5"/>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二、部门机构设置</w:t>
      </w:r>
    </w:p>
    <w:p>
      <w:pPr>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7" w:name="PO_part2Organization"/>
      <w:r>
        <w:rPr>
          <w:rFonts w:hint="eastAsia" w:ascii="仿宋_GB2312" w:hAnsi="仿宋_GB2312" w:eastAsia="仿宋_GB2312" w:cs="仿宋_GB2312"/>
          <w:sz w:val="30"/>
          <w:szCs w:val="30"/>
        </w:rPr>
        <w:t xml:space="preserve">  （一）部门内设机构（处室）情况</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1.根据百编[2013]113号文，市机构编制委员会同意成立中共百色市纪委反腐倡廉信息教育管理中心，为市纪委管理的相当于正科级全额拨款事业单位。</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2.根据百编[2015]117号文，市机构编制委员会同意成立百色市纪检监察办案点管理办公室，为市纪委管理的财政全额款相当正科级事业单位。2019年12月更名为百色市反腐倡廉教育基地管理中心（百编〔2019〕83号）。</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3.根据百编[2021]54号文，市机构编制委员会同意成立百色市委巡察工作信息中心，为百色市委巡察工作领导小组办公室管理的正科级公益一类事业单位。</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（二）部门所属单位情况</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2025年纳入编报预算范围的直属单位共有3个，其中所属非参照公务员管理全额事业单位3个，分别是：百色市反腐倡廉教育基地管理中心、百色市纪委反腐倡廉信息教育管理中心和百色市委巡察工作信息中心</w:t>
      </w:r>
      <w:r>
        <w:rPr>
          <w:rFonts w:hint="eastAsia" w:ascii="仿宋_GB2312" w:hAnsi="仿宋_GB2312" w:eastAsia="仿宋_GB2312" w:cs="仿宋_GB2312"/>
          <w:sz w:val="30"/>
          <w:szCs w:val="30"/>
          <w:lang w:eastAsia="zh-CN"/>
        </w:rPr>
        <w:t>。</w:t>
      </w:r>
      <w:bookmarkEnd w:id="7"/>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三、部门预算构成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 w:name="PO_part1Organization"/>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本部门为百色市反腐倡廉教育基地管理中心本级预算(含纳入编制范围的单位的预算）。纳入编制范围的单位包括：百色市纪委反腐倡廉信息教育管理中心和百色市委巡察工作信息中心。根据财政部门要求，事业单位须独立编制部门预算，由于这两个事业单位财务不独立核算，故年度预算统一编制在百色市反腐倡廉教育基地管理中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bookmarkEnd w:id="8"/>
      <w:r>
        <w:rPr>
          <w:rFonts w:hint="eastAsia" w:ascii="仿宋_GB2312" w:hAnsi="仿宋_GB2312" w:eastAsia="仿宋_GB2312" w:cs="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center"/>
        <w:outlineLvl w:val="0"/>
        <w:rPr>
          <w:rFonts w:hint="eastAsia"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第二部分  </w:t>
      </w:r>
      <w:bookmarkStart w:id="9" w:name="PO_part2Year1"/>
      <w:r>
        <w:rPr>
          <w:rFonts w:hint="eastAsia" w:ascii="黑体" w:hAnsi="黑体" w:eastAsia="黑体" w:cs="方正小标宋简体"/>
          <w:sz w:val="44"/>
          <w:szCs w:val="44"/>
          <w:lang w:val="en-US" w:eastAsia="zh-CN"/>
        </w:rPr>
        <w:t>百色市反腐倡廉教育基地管理中心 2025</w:t>
      </w:r>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一、一般公共预算拨款</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381.9</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271.27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381.9</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（三）一般债券收入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二、政府性基金预算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（三）专项债券收入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65.33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三、国有资本经营预算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四、财政专户管理资金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五、单位资金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（一）事业收入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（二）事业单位经营收入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（三）上级补助收入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（四）附属单位上缴收入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（五）其他收入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本 年 收 入 合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381.9</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上年结转结余</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收  入  总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381.9</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支  出  总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cs="宋体"/>
                <w:color w:val="000000"/>
                <w:sz w:val="18"/>
                <w:szCs w:val="18"/>
              </w:rPr>
            </w:pPr>
          </w:p>
        </w:tc>
        <w:tc>
          <w:tcPr>
            <w:tcW w:w="3543" w:type="dxa"/>
            <w:noWrap w:val="0"/>
            <w:vAlign w:val="center"/>
          </w:tcPr>
          <w:p>
            <w:pPr>
              <w:jc w:val="right"/>
              <w:rPr>
                <w:rFonts w:hint="eastAsia" w:ascii="宋体" w:hAnsi="宋体" w:cs="宋体"/>
                <w:color w:val="000000"/>
                <w:sz w:val="18"/>
                <w:szCs w:val="18"/>
              </w:rPr>
            </w:pPr>
          </w:p>
        </w:tc>
        <w:tc>
          <w:tcPr>
            <w:tcW w:w="3544" w:type="dxa"/>
            <w:noWrap w:val="0"/>
            <w:vAlign w:val="center"/>
          </w:tcPr>
          <w:p>
            <w:pPr>
              <w:widowControl/>
              <w:jc w:val="center"/>
              <w:textAlignment w:val="center"/>
              <w:rPr>
                <w:rFonts w:hint="eastAsia" w:ascii="宋体" w:hAnsi="宋体" w:cs="宋体"/>
                <w:color w:val="000000"/>
                <w:sz w:val="18"/>
                <w:szCs w:val="18"/>
              </w:rPr>
            </w:pPr>
          </w:p>
        </w:tc>
        <w:tc>
          <w:tcPr>
            <w:tcW w:w="3544" w:type="dxa"/>
            <w:noWrap w:val="0"/>
            <w:vAlign w:val="center"/>
          </w:tcPr>
          <w:p>
            <w:pPr>
              <w:jc w:val="right"/>
              <w:rPr>
                <w:rFonts w:hint="eastAsia" w:ascii="宋体" w:hAnsi="宋体" w:cs="宋体"/>
                <w:color w:val="000000"/>
                <w:sz w:val="18"/>
                <w:szCs w:val="18"/>
              </w:rPr>
            </w:pPr>
          </w:p>
        </w:tc>
      </w:tr>
      <w:bookmarkEnd w:id="10"/>
    </w:tbl>
    <w:p>
      <w:pP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报表金额单位转换时可能存在四舍五入尾数误差。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预算公开02</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noWrap w:val="0"/>
            <w:vAlign w:val="center"/>
          </w:tcPr>
          <w:p>
            <w:pPr>
              <w:jc w:val="left"/>
              <w:rPr>
                <w:rFonts w:hint="eastAsia" w:ascii="宋体" w:hAnsi="宋体"/>
                <w:color w:val="000000"/>
                <w:kern w:val="0"/>
                <w:sz w:val="18"/>
                <w:szCs w:val="18"/>
              </w:rPr>
            </w:pPr>
            <w:r>
              <w:rPr>
                <w:rFonts w:hint="eastAsia" w:ascii="宋体" w:hAnsi="宋体"/>
                <w:color w:val="000000"/>
                <w:kern w:val="0"/>
                <w:sz w:val="18"/>
                <w:szCs w:val="18"/>
              </w:rPr>
              <w:t>单位名称：</w:t>
            </w:r>
            <w:bookmarkStart w:id="14" w:name="PO_part2Table1DivName2"/>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14"/>
          </w:p>
        </w:tc>
        <w:tc>
          <w:tcPr>
            <w:tcW w:w="6306" w:type="dxa"/>
            <w:gridSpan w:val="7"/>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7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38" w:type="dxa"/>
            <w:vMerge w:val="continue"/>
            <w:noWrap w:val="0"/>
            <w:vAlign w:val="center"/>
          </w:tcPr>
          <w:p>
            <w:pPr>
              <w:jc w:val="center"/>
              <w:rPr>
                <w:rFonts w:hint="eastAsia" w:ascii="宋体" w:hAnsi="宋体"/>
                <w:color w:val="000000"/>
                <w:kern w:val="0"/>
                <w:sz w:val="18"/>
                <w:szCs w:val="18"/>
              </w:rPr>
            </w:pP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jc w:val="center"/>
              <w:rPr>
                <w:rFonts w:hint="eastAsia" w:ascii="宋体" w:hAnsi="宋体"/>
                <w:color w:val="000000"/>
                <w:kern w:val="0"/>
                <w:sz w:val="18"/>
                <w:szCs w:val="18"/>
              </w:rPr>
            </w:pPr>
          </w:p>
        </w:tc>
        <w:tc>
          <w:tcPr>
            <w:tcW w:w="1171" w:type="dxa"/>
            <w:vMerge w:val="continue"/>
            <w:noWrap w:val="0"/>
            <w:vAlign w:val="center"/>
          </w:tcPr>
          <w:p>
            <w:pPr>
              <w:jc w:val="center"/>
              <w:rPr>
                <w:rFonts w:hint="eastAsia" w:ascii="宋体" w:hAnsi="宋体"/>
                <w:color w:val="000000"/>
                <w:kern w:val="0"/>
                <w:sz w:val="18"/>
                <w:szCs w:val="18"/>
              </w:rPr>
            </w:pPr>
          </w:p>
        </w:tc>
        <w:tc>
          <w:tcPr>
            <w:tcW w:w="1138" w:type="dxa"/>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109002</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百色市反腐倡廉教育基地管理中心</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jc w:val="left"/>
              <w:textAlignment w:val="center"/>
              <w:rPr>
                <w:rFonts w:ascii="宋体" w:hAnsi="宋体"/>
                <w:color w:val="000000"/>
                <w:kern w:val="0"/>
                <w:sz w:val="18"/>
                <w:szCs w:val="18"/>
              </w:rPr>
            </w:pPr>
          </w:p>
        </w:tc>
        <w:tc>
          <w:tcPr>
            <w:tcW w:w="1171" w:type="dxa"/>
            <w:noWrap w:val="0"/>
            <w:vAlign w:val="center"/>
          </w:tcPr>
          <w:p>
            <w:pPr>
              <w:widowControl/>
              <w:jc w:val="left"/>
              <w:textAlignment w:val="center"/>
              <w:rPr>
                <w:rFonts w:ascii="宋体" w:hAnsi="宋体"/>
                <w:color w:val="000000"/>
                <w:kern w:val="0"/>
                <w:sz w:val="18"/>
                <w:szCs w:val="18"/>
              </w:rPr>
            </w:pPr>
          </w:p>
        </w:tc>
        <w:tc>
          <w:tcPr>
            <w:tcW w:w="1138" w:type="dxa"/>
            <w:noWrap w:val="0"/>
            <w:vAlign w:val="center"/>
          </w:tcPr>
          <w:p>
            <w:pPr>
              <w:widowControl/>
              <w:jc w:val="right"/>
              <w:textAlignment w:val="center"/>
              <w:rPr>
                <w:rFonts w:ascii="宋体" w:hAnsi="宋体"/>
                <w:color w:val="000000"/>
                <w:kern w:val="0"/>
                <w:sz w:val="18"/>
                <w:szCs w:val="18"/>
              </w:rPr>
            </w:pPr>
          </w:p>
        </w:tc>
        <w:tc>
          <w:tcPr>
            <w:tcW w:w="969" w:type="dxa"/>
            <w:noWrap w:val="0"/>
            <w:vAlign w:val="center"/>
          </w:tcPr>
          <w:p>
            <w:pPr>
              <w:widowControl/>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1009" w:type="dxa"/>
            <w:noWrap w:val="0"/>
            <w:vAlign w:val="center"/>
          </w:tcPr>
          <w:p>
            <w:pPr>
              <w:widowControl/>
              <w:tabs>
                <w:tab w:val="left" w:pos="560"/>
              </w:tabs>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940" w:type="dxa"/>
            <w:noWrap w:val="0"/>
            <w:vAlign w:val="center"/>
          </w:tcPr>
          <w:p>
            <w:pPr>
              <w:widowControl/>
              <w:tabs>
                <w:tab w:val="left" w:pos="560"/>
              </w:tabs>
              <w:jc w:val="right"/>
              <w:textAlignment w:val="center"/>
              <w:rPr>
                <w:rFonts w:ascii="宋体" w:hAnsi="宋体"/>
                <w:color w:val="000000"/>
                <w:kern w:val="0"/>
                <w:sz w:val="18"/>
                <w:szCs w:val="18"/>
              </w:rPr>
            </w:pPr>
          </w:p>
        </w:tc>
        <w:tc>
          <w:tcPr>
            <w:tcW w:w="971" w:type="dxa"/>
            <w:gridSpan w:val="2"/>
            <w:noWrap w:val="0"/>
            <w:vAlign w:val="center"/>
          </w:tcPr>
          <w:p>
            <w:pPr>
              <w:widowControl/>
              <w:tabs>
                <w:tab w:val="left" w:pos="560"/>
              </w:tabs>
              <w:jc w:val="right"/>
              <w:textAlignment w:val="center"/>
              <w:rPr>
                <w:rFonts w:ascii="宋体" w:hAnsi="宋体"/>
                <w:color w:val="000000"/>
                <w:kern w:val="0"/>
                <w:sz w:val="18"/>
                <w:szCs w:val="18"/>
              </w:rPr>
            </w:pPr>
          </w:p>
        </w:tc>
        <w:tc>
          <w:tcPr>
            <w:tcW w:w="1008" w:type="dxa"/>
            <w:noWrap w:val="0"/>
            <w:vAlign w:val="center"/>
          </w:tcPr>
          <w:p>
            <w:pPr>
              <w:widowControl/>
              <w:tabs>
                <w:tab w:val="left" w:pos="560"/>
              </w:tabs>
              <w:jc w:val="right"/>
              <w:textAlignment w:val="center"/>
              <w:rPr>
                <w:rFonts w:ascii="宋体" w:hAnsi="宋体"/>
                <w:color w:val="000000"/>
                <w:kern w:val="0"/>
                <w:sz w:val="18"/>
                <w:szCs w:val="18"/>
              </w:rPr>
            </w:pPr>
          </w:p>
        </w:tc>
        <w:tc>
          <w:tcPr>
            <w:tcW w:w="969" w:type="dxa"/>
            <w:noWrap w:val="0"/>
            <w:vAlign w:val="center"/>
          </w:tcPr>
          <w:p>
            <w:pPr>
              <w:widowControl/>
              <w:tabs>
                <w:tab w:val="left" w:pos="560"/>
              </w:tabs>
              <w:jc w:val="right"/>
              <w:textAlignment w:val="center"/>
              <w:rPr>
                <w:rFonts w:ascii="宋体" w:hAnsi="宋体"/>
                <w:color w:val="000000"/>
                <w:kern w:val="0"/>
                <w:sz w:val="18"/>
                <w:szCs w:val="18"/>
              </w:rPr>
            </w:pPr>
          </w:p>
        </w:tc>
        <w:tc>
          <w:tcPr>
            <w:tcW w:w="967" w:type="dxa"/>
            <w:noWrap w:val="0"/>
            <w:vAlign w:val="center"/>
          </w:tcPr>
          <w:p>
            <w:pPr>
              <w:widowControl/>
              <w:tabs>
                <w:tab w:val="left" w:pos="560"/>
              </w:tabs>
              <w:jc w:val="right"/>
              <w:textAlignment w:val="center"/>
              <w:rPr>
                <w:rFonts w:ascii="宋体" w:hAnsi="宋体"/>
                <w:color w:val="000000"/>
                <w:kern w:val="0"/>
                <w:sz w:val="18"/>
                <w:szCs w:val="18"/>
              </w:rPr>
            </w:pPr>
          </w:p>
        </w:tc>
        <w:tc>
          <w:tcPr>
            <w:tcW w:w="1057" w:type="dxa"/>
            <w:noWrap w:val="0"/>
            <w:vAlign w:val="center"/>
          </w:tcPr>
          <w:p>
            <w:pPr>
              <w:widowControl/>
              <w:tabs>
                <w:tab w:val="left" w:pos="560"/>
              </w:tabs>
              <w:jc w:val="right"/>
              <w:textAlignment w:val="center"/>
              <w:rPr>
                <w:rFonts w:ascii="宋体" w:hAnsi="宋体"/>
                <w:color w:val="000000"/>
                <w:kern w:val="0"/>
                <w:sz w:val="18"/>
                <w:szCs w:val="18"/>
              </w:rPr>
            </w:pPr>
          </w:p>
        </w:tc>
        <w:tc>
          <w:tcPr>
            <w:tcW w:w="985" w:type="dxa"/>
            <w:noWrap w:val="0"/>
            <w:vAlign w:val="center"/>
          </w:tcPr>
          <w:p>
            <w:pPr>
              <w:widowControl/>
              <w:tabs>
                <w:tab w:val="left" w:pos="560"/>
              </w:tabs>
              <w:jc w:val="right"/>
              <w:textAlignment w:val="center"/>
              <w:rPr>
                <w:rFonts w:ascii="宋体" w:hAnsi="宋体"/>
                <w:color w:val="000000"/>
                <w:kern w:val="0"/>
                <w:sz w:val="18"/>
                <w:szCs w:val="18"/>
              </w:rPr>
            </w:pPr>
          </w:p>
        </w:tc>
        <w:tc>
          <w:tcPr>
            <w:tcW w:w="1023" w:type="dxa"/>
            <w:noWrap w:val="0"/>
            <w:vAlign w:val="center"/>
          </w:tcPr>
          <w:p>
            <w:pPr>
              <w:widowControl/>
              <w:tabs>
                <w:tab w:val="left" w:pos="560"/>
              </w:tabs>
              <w:jc w:val="right"/>
              <w:textAlignment w:val="center"/>
              <w:rPr>
                <w:rFonts w:ascii="宋体" w:hAnsi="宋体"/>
                <w:color w:val="000000"/>
                <w:kern w:val="0"/>
                <w:sz w:val="18"/>
                <w:szCs w:val="18"/>
              </w:rPr>
            </w:pPr>
          </w:p>
        </w:tc>
      </w:tr>
      <w:bookmarkEnd w:id="13"/>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5" w:name="PO_part2Table1Remark2"/>
      <w:r>
        <w:rPr>
          <w:rFonts w:hint="eastAsia" w:ascii="宋体" w:hAnsi="宋体" w:cs="宋体"/>
          <w:color w:val="000000"/>
          <w:kern w:val="0"/>
          <w:sz w:val="18"/>
          <w:szCs w:val="18"/>
          <w:lang w:bidi="ar"/>
        </w:rPr>
        <w:t xml:space="preserve"> 报表金额单位转换时可能存在四舍五入尾数误差。</w:t>
      </w:r>
      <w:bookmarkEnd w:id="1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6" w:name="PO_part2Table3"/>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
        <w:gridCol w:w="610"/>
        <w:gridCol w:w="4"/>
        <w:gridCol w:w="616"/>
        <w:gridCol w:w="2175"/>
        <w:gridCol w:w="2191"/>
        <w:gridCol w:w="1364"/>
        <w:gridCol w:w="940"/>
        <w:gridCol w:w="1255"/>
        <w:gridCol w:w="2032"/>
        <w:gridCol w:w="151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预算公开03</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574" w:type="dxa"/>
            <w:gridSpan w:val="8"/>
            <w:tcBorders>
              <w:top w:val="nil"/>
              <w:left w:val="nil"/>
              <w:bottom w:val="nil"/>
              <w:right w:val="nil"/>
            </w:tcBorders>
            <w:noWrap w:val="0"/>
            <w:vAlign w:val="center"/>
          </w:tcPr>
          <w:p>
            <w:pPr>
              <w:jc w:val="left"/>
              <w:rPr>
                <w:rFonts w:hint="eastAsia" w:ascii="宋体" w:hAnsi="宋体"/>
                <w:b/>
                <w:bCs/>
                <w:color w:val="000000"/>
                <w:kern w:val="0"/>
                <w:sz w:val="26"/>
                <w:szCs w:val="26"/>
              </w:rPr>
            </w:pPr>
            <w:r>
              <w:rPr>
                <w:rFonts w:hint="eastAsia" w:ascii="宋体" w:hAnsi="宋体"/>
                <w:color w:val="000000"/>
                <w:kern w:val="0"/>
                <w:sz w:val="18"/>
                <w:szCs w:val="18"/>
              </w:rPr>
              <w:t>单位名称：</w:t>
            </w:r>
            <w:bookmarkStart w:id="17" w:name="PO_part2Table1DivName3"/>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17"/>
          </w:p>
        </w:tc>
        <w:tc>
          <w:tcPr>
            <w:tcW w:w="7733" w:type="dxa"/>
            <w:gridSpan w:val="5"/>
            <w:tcBorders>
              <w:top w:val="nil"/>
              <w:left w:val="nil"/>
              <w:bottom w:val="nil"/>
              <w:right w:val="nil"/>
            </w:tcBorders>
            <w:noWrap w:val="0"/>
            <w:vAlign w:val="center"/>
          </w:tcPr>
          <w:p>
            <w:pPr>
              <w:jc w:val="right"/>
              <w:rPr>
                <w:rFonts w:hint="eastAsia" w:ascii="宋体" w:hAnsi="宋体"/>
                <w:b/>
                <w:bCs/>
                <w:color w:val="000000"/>
                <w:kern w:val="0"/>
                <w:sz w:val="26"/>
                <w:szCs w:val="26"/>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844" w:type="dxa"/>
            <w:gridSpan w:val="5"/>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1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191"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9097"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940"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基本支出</w:t>
            </w:r>
          </w:p>
        </w:tc>
        <w:tc>
          <w:tcPr>
            <w:tcW w:w="6793" w:type="dxa"/>
            <w:gridSpan w:val="4"/>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lang w:val="en-US" w:eastAsia="zh-CN"/>
              </w:rPr>
              <w:t>小计</w:t>
            </w:r>
          </w:p>
        </w:tc>
        <w:tc>
          <w:tcPr>
            <w:tcW w:w="5538" w:type="dxa"/>
            <w:gridSpan w:val="3"/>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continue"/>
            <w:noWrap w:val="0"/>
            <w:vAlign w:val="center"/>
          </w:tcPr>
          <w:p>
            <w:pPr>
              <w:widowControl/>
              <w:jc w:val="center"/>
              <w:textAlignment w:val="center"/>
              <w:rPr>
                <w:rFonts w:hint="eastAsia" w:ascii="宋体" w:hAnsi="宋体"/>
                <w:color w:val="000000"/>
                <w:sz w:val="18"/>
                <w:szCs w:val="18"/>
                <w:lang w:val="en-US" w:eastAsia="zh-CN"/>
              </w:rPr>
            </w:pPr>
          </w:p>
        </w:tc>
        <w:tc>
          <w:tcPr>
            <w:tcW w:w="2032"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事业单位经营支出</w:t>
            </w:r>
          </w:p>
        </w:tc>
        <w:tc>
          <w:tcPr>
            <w:tcW w:w="151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上缴上级支出</w:t>
            </w:r>
          </w:p>
        </w:tc>
        <w:tc>
          <w:tcPr>
            <w:tcW w:w="199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614" w:type="dxa"/>
            <w:gridSpan w:val="2"/>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175"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2191"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1364"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940"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255" w:type="dxa"/>
            <w:tcBorders>
              <w:top w:val="single" w:color="auto" w:sz="4" w:space="0"/>
            </w:tcBorders>
            <w:noWrap w:val="0"/>
            <w:vAlign w:val="center"/>
          </w:tcPr>
          <w:p>
            <w:pPr>
              <w:widowControl/>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2032"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513"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993" w:type="dxa"/>
            <w:tcBorders>
              <w:top w:val="single" w:color="auto" w:sz="4"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合计</w:t>
            </w:r>
          </w:p>
        </w:tc>
        <w:tc>
          <w:tcPr>
            <w:tcW w:w="1364" w:type="dxa"/>
            <w:noWrap w:val="0"/>
            <w:vAlign w:val="center"/>
          </w:tcPr>
          <w:p>
            <w:pPr>
              <w:jc w:val="right"/>
              <w:rPr>
                <w:sz w:val="18"/>
                <w:szCs w:val="18"/>
              </w:rPr>
            </w:pPr>
            <w:r>
              <w:rPr>
                <w:rFonts w:hint="eastAsia" w:ascii="宋体" w:hAnsi="宋体"/>
                <w:color w:val="000000"/>
                <w:sz w:val="18"/>
                <w:szCs w:val="18"/>
              </w:rPr>
              <w:t>381.9</w:t>
            </w:r>
          </w:p>
        </w:tc>
        <w:tc>
          <w:tcPr>
            <w:tcW w:w="940" w:type="dxa"/>
            <w:noWrap w:val="0"/>
            <w:vAlign w:val="center"/>
          </w:tcPr>
          <w:p>
            <w:pPr>
              <w:jc w:val="right"/>
              <w:rPr>
                <w:sz w:val="18"/>
                <w:szCs w:val="18"/>
              </w:rPr>
            </w:pPr>
            <w:r>
              <w:rPr>
                <w:rFonts w:hint="eastAsia" w:ascii="宋体" w:hAnsi="宋体"/>
                <w:color w:val="000000"/>
                <w:sz w:val="18"/>
                <w:szCs w:val="18"/>
              </w:rPr>
              <w:t>381.9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中国共产党百色市纪律检查委员会</w:t>
            </w:r>
          </w:p>
        </w:tc>
        <w:tc>
          <w:tcPr>
            <w:tcW w:w="1364" w:type="dxa"/>
            <w:noWrap w:val="0"/>
            <w:vAlign w:val="center"/>
          </w:tcPr>
          <w:p>
            <w:pPr>
              <w:jc w:val="right"/>
              <w:rPr>
                <w:sz w:val="18"/>
                <w:szCs w:val="18"/>
              </w:rPr>
            </w:pPr>
            <w:r>
              <w:rPr>
                <w:rFonts w:hint="eastAsia" w:ascii="宋体" w:hAnsi="宋体"/>
                <w:color w:val="000000"/>
                <w:sz w:val="18"/>
                <w:szCs w:val="18"/>
              </w:rPr>
              <w:t>381.9</w:t>
            </w:r>
          </w:p>
        </w:tc>
        <w:tc>
          <w:tcPr>
            <w:tcW w:w="940" w:type="dxa"/>
            <w:noWrap w:val="0"/>
            <w:vAlign w:val="center"/>
          </w:tcPr>
          <w:p>
            <w:pPr>
              <w:jc w:val="right"/>
              <w:rPr>
                <w:sz w:val="18"/>
                <w:szCs w:val="18"/>
              </w:rPr>
            </w:pPr>
            <w:r>
              <w:rPr>
                <w:rFonts w:hint="eastAsia" w:ascii="宋体" w:hAnsi="宋体"/>
                <w:color w:val="000000"/>
                <w:sz w:val="18"/>
                <w:szCs w:val="18"/>
              </w:rPr>
              <w:t>381.9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109002</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百色市反腐倡廉教育基地管理中心</w:t>
            </w:r>
          </w:p>
        </w:tc>
        <w:tc>
          <w:tcPr>
            <w:tcW w:w="1364" w:type="dxa"/>
            <w:noWrap w:val="0"/>
            <w:vAlign w:val="center"/>
          </w:tcPr>
          <w:p>
            <w:pPr>
              <w:jc w:val="right"/>
              <w:rPr>
                <w:sz w:val="18"/>
                <w:szCs w:val="18"/>
              </w:rPr>
            </w:pPr>
            <w:r>
              <w:rPr>
                <w:rFonts w:hint="eastAsia" w:ascii="宋体" w:hAnsi="宋体"/>
                <w:color w:val="000000"/>
                <w:sz w:val="18"/>
                <w:szCs w:val="18"/>
              </w:rPr>
              <w:t>381.9</w:t>
            </w:r>
          </w:p>
        </w:tc>
        <w:tc>
          <w:tcPr>
            <w:tcW w:w="940" w:type="dxa"/>
            <w:noWrap w:val="0"/>
            <w:vAlign w:val="center"/>
          </w:tcPr>
          <w:p>
            <w:pPr>
              <w:jc w:val="right"/>
              <w:rPr>
                <w:sz w:val="18"/>
                <w:szCs w:val="18"/>
              </w:rPr>
            </w:pPr>
            <w:r>
              <w:rPr>
                <w:rFonts w:hint="eastAsia" w:ascii="宋体" w:hAnsi="宋体"/>
                <w:color w:val="000000"/>
                <w:sz w:val="18"/>
                <w:szCs w:val="18"/>
              </w:rPr>
              <w:t>381.9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事业运行</w:t>
            </w:r>
          </w:p>
        </w:tc>
        <w:tc>
          <w:tcPr>
            <w:tcW w:w="1364" w:type="dxa"/>
            <w:noWrap w:val="0"/>
            <w:vAlign w:val="center"/>
          </w:tcPr>
          <w:p>
            <w:pPr>
              <w:jc w:val="right"/>
              <w:rPr>
                <w:sz w:val="18"/>
                <w:szCs w:val="18"/>
              </w:rPr>
            </w:pPr>
            <w:r>
              <w:rPr>
                <w:rFonts w:hint="eastAsia" w:ascii="宋体" w:hAnsi="宋体"/>
                <w:color w:val="000000"/>
                <w:sz w:val="18"/>
                <w:szCs w:val="18"/>
              </w:rPr>
              <w:t>271.27</w:t>
            </w:r>
          </w:p>
        </w:tc>
        <w:tc>
          <w:tcPr>
            <w:tcW w:w="940" w:type="dxa"/>
            <w:noWrap w:val="0"/>
            <w:vAlign w:val="center"/>
          </w:tcPr>
          <w:p>
            <w:pPr>
              <w:jc w:val="right"/>
              <w:rPr>
                <w:sz w:val="18"/>
                <w:szCs w:val="18"/>
              </w:rPr>
            </w:pPr>
            <w:r>
              <w:rPr>
                <w:rFonts w:hint="eastAsia" w:ascii="宋体" w:hAnsi="宋体"/>
                <w:color w:val="000000"/>
                <w:sz w:val="18"/>
                <w:szCs w:val="18"/>
              </w:rPr>
              <w:t>271.27</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pPr>
              <w:jc w:val="right"/>
              <w:rPr>
                <w:sz w:val="18"/>
                <w:szCs w:val="18"/>
              </w:rPr>
            </w:pPr>
            <w:r>
              <w:rPr>
                <w:rFonts w:hint="eastAsia" w:ascii="宋体" w:hAnsi="宋体"/>
                <w:color w:val="000000"/>
                <w:sz w:val="18"/>
                <w:szCs w:val="18"/>
              </w:rPr>
              <w:t>43.55</w:t>
            </w:r>
          </w:p>
        </w:tc>
        <w:tc>
          <w:tcPr>
            <w:tcW w:w="940" w:type="dxa"/>
            <w:noWrap w:val="0"/>
            <w:vAlign w:val="center"/>
          </w:tcPr>
          <w:p>
            <w:pPr>
              <w:jc w:val="right"/>
              <w:rPr>
                <w:sz w:val="18"/>
                <w:szCs w:val="18"/>
              </w:rPr>
            </w:pPr>
            <w:r>
              <w:rPr>
                <w:rFonts w:hint="eastAsia" w:ascii="宋体" w:hAnsi="宋体"/>
                <w:color w:val="000000"/>
                <w:sz w:val="18"/>
                <w:szCs w:val="18"/>
              </w:rPr>
              <w:t>43.55</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pPr>
              <w:jc w:val="right"/>
              <w:rPr>
                <w:sz w:val="18"/>
                <w:szCs w:val="18"/>
              </w:rPr>
            </w:pPr>
            <w:r>
              <w:rPr>
                <w:rFonts w:hint="eastAsia" w:ascii="宋体" w:hAnsi="宋体"/>
                <w:color w:val="000000"/>
                <w:sz w:val="18"/>
                <w:szCs w:val="18"/>
              </w:rPr>
              <w:t>21.78</w:t>
            </w:r>
          </w:p>
        </w:tc>
        <w:tc>
          <w:tcPr>
            <w:tcW w:w="940" w:type="dxa"/>
            <w:noWrap w:val="0"/>
            <w:vAlign w:val="center"/>
          </w:tcPr>
          <w:p>
            <w:pPr>
              <w:jc w:val="right"/>
              <w:rPr>
                <w:sz w:val="18"/>
                <w:szCs w:val="18"/>
              </w:rPr>
            </w:pPr>
            <w:r>
              <w:rPr>
                <w:rFonts w:hint="eastAsia" w:ascii="宋体" w:hAnsi="宋体"/>
                <w:color w:val="000000"/>
                <w:sz w:val="18"/>
                <w:szCs w:val="18"/>
              </w:rPr>
              <w:t>21.78</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事业单位医疗</w:t>
            </w:r>
          </w:p>
        </w:tc>
        <w:tc>
          <w:tcPr>
            <w:tcW w:w="1364" w:type="dxa"/>
            <w:noWrap w:val="0"/>
            <w:vAlign w:val="center"/>
          </w:tcPr>
          <w:p>
            <w:pPr>
              <w:jc w:val="right"/>
              <w:rPr>
                <w:sz w:val="18"/>
                <w:szCs w:val="18"/>
              </w:rPr>
            </w:pPr>
            <w:r>
              <w:rPr>
                <w:rFonts w:hint="eastAsia" w:ascii="宋体" w:hAnsi="宋体"/>
                <w:color w:val="000000"/>
                <w:sz w:val="18"/>
                <w:szCs w:val="18"/>
              </w:rPr>
              <w:t>12.64</w:t>
            </w:r>
          </w:p>
        </w:tc>
        <w:tc>
          <w:tcPr>
            <w:tcW w:w="940" w:type="dxa"/>
            <w:noWrap w:val="0"/>
            <w:vAlign w:val="center"/>
          </w:tcPr>
          <w:p>
            <w:pPr>
              <w:jc w:val="right"/>
              <w:rPr>
                <w:sz w:val="18"/>
                <w:szCs w:val="18"/>
              </w:rPr>
            </w:pPr>
            <w:r>
              <w:rPr>
                <w:rFonts w:hint="eastAsia" w:ascii="宋体" w:hAnsi="宋体"/>
                <w:color w:val="000000"/>
                <w:sz w:val="18"/>
                <w:szCs w:val="18"/>
              </w:rPr>
              <w:t>12.64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pPr>
              <w:jc w:val="right"/>
              <w:rPr>
                <w:sz w:val="18"/>
                <w:szCs w:val="18"/>
              </w:rPr>
            </w:pPr>
            <w:r>
              <w:rPr>
                <w:rFonts w:hint="eastAsia" w:ascii="宋体" w:hAnsi="宋体"/>
                <w:color w:val="000000"/>
                <w:sz w:val="18"/>
                <w:szCs w:val="18"/>
              </w:rPr>
              <w:t>32.66</w:t>
            </w:r>
          </w:p>
        </w:tc>
        <w:tc>
          <w:tcPr>
            <w:tcW w:w="940" w:type="dxa"/>
            <w:noWrap w:val="0"/>
            <w:vAlign w:val="center"/>
          </w:tcPr>
          <w:p>
            <w:pPr>
              <w:jc w:val="right"/>
              <w:rPr>
                <w:sz w:val="18"/>
                <w:szCs w:val="18"/>
              </w:rPr>
            </w:pPr>
            <w:r>
              <w:rPr>
                <w:rFonts w:hint="eastAsia" w:ascii="宋体" w:hAnsi="宋体"/>
                <w:color w:val="000000"/>
                <w:sz w:val="18"/>
                <w:szCs w:val="18"/>
              </w:rPr>
              <w:t>32.66</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bookmarkEnd w:id="16"/>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报表金额单位转换时可能存在四舍五入尾数误差。</w:t>
      </w:r>
      <w:bookmarkEnd w:id="18"/>
      <w:r>
        <w:rPr>
          <w:rFonts w:hint="eastAsia" w:ascii="宋体" w:hAnsi="宋体" w:cs="宋体"/>
          <w:color w:val="000000"/>
          <w:kern w:val="0"/>
          <w:sz w:val="18"/>
          <w:szCs w:val="18"/>
          <w:lang w:bidi="ar"/>
        </w:rPr>
        <w:t xml:space="preserve">  </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9" w:name="PO_part2Table4"/>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预算公开04</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20"/>
          </w:p>
        </w:tc>
        <w:tc>
          <w:tcPr>
            <w:tcW w:w="382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一、本年收入</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271.27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3、一般债券收入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3、专项债券收入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（九）卫生健康支出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（十）节能环保支出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（十一）城乡社区支出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二、上年结转结余</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（十二）农林水支出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（十三）交通运输支出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（十四）资源勘探工业信息等支出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（十五）商业服务业等支出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（十六）金融支出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（十七）援助其他地区支出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（十八）自然资源海洋气象等支出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（十九）住房保障支出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（二十）粮油物资储备支出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（二十一）国有资本经营预算支出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（二十二）灾害防治及应急管理支出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（二十三）其他支出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（二十四）债务还本支出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（二十五）债务付息支出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（二十六）债务发行费用支出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二、结转下年支出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收   入   总   计</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支　　　出　　　总　　　计</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noWrap w:val="0"/>
            <w:vAlign w:val="center"/>
          </w:tcPr>
          <w:p>
            <w:pPr>
              <w:widowControl/>
              <w:jc w:val="center"/>
              <w:textAlignment w:val="center"/>
              <w:rPr>
                <w:rFonts w:ascii="宋体" w:hAnsi="宋体"/>
                <w:color w:val="000000"/>
                <w:sz w:val="18"/>
                <w:szCs w:val="18"/>
              </w:rPr>
            </w:pPr>
          </w:p>
        </w:tc>
        <w:tc>
          <w:tcPr>
            <w:tcW w:w="3826" w:type="dxa"/>
            <w:noWrap w:val="0"/>
            <w:vAlign w:val="center"/>
          </w:tcPr>
          <w:p>
            <w:pPr>
              <w:jc w:val="right"/>
              <w:rPr>
                <w:rFonts w:ascii="宋体" w:hAnsi="宋体"/>
                <w:color w:val="000000"/>
                <w:sz w:val="18"/>
                <w:szCs w:val="18"/>
              </w:rPr>
            </w:pPr>
          </w:p>
        </w:tc>
        <w:tc>
          <w:tcPr>
            <w:tcW w:w="3827" w:type="dxa"/>
            <w:noWrap w:val="0"/>
            <w:vAlign w:val="center"/>
          </w:tcPr>
          <w:p>
            <w:pPr>
              <w:widowControl/>
              <w:jc w:val="center"/>
              <w:textAlignment w:val="center"/>
              <w:rPr>
                <w:rFonts w:ascii="宋体" w:hAnsi="宋体"/>
                <w:color w:val="000000"/>
                <w:sz w:val="18"/>
                <w:szCs w:val="18"/>
              </w:rPr>
            </w:pPr>
          </w:p>
        </w:tc>
        <w:tc>
          <w:tcPr>
            <w:tcW w:w="3827" w:type="dxa"/>
            <w:noWrap w:val="0"/>
            <w:vAlign w:val="center"/>
          </w:tcPr>
          <w:p>
            <w:pPr>
              <w:jc w:val="right"/>
              <w:rPr>
                <w:rFonts w:ascii="宋体" w:hAnsi="宋体"/>
                <w:color w:val="000000"/>
                <w:sz w:val="18"/>
                <w:szCs w:val="18"/>
              </w:rPr>
            </w:pPr>
          </w:p>
        </w:tc>
      </w:tr>
      <w:bookmarkEnd w:id="19"/>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1" w:name="PO_part2Table1Remark4"/>
      <w:r>
        <w:rPr>
          <w:rFonts w:hint="eastAsia" w:ascii="宋体" w:hAnsi="宋体" w:cs="宋体"/>
          <w:color w:val="000000"/>
          <w:kern w:val="0"/>
          <w:sz w:val="18"/>
          <w:szCs w:val="18"/>
          <w:lang w:bidi="ar"/>
        </w:rPr>
        <w:t xml:space="preserve"> 表中功能分类科目，根据各部门实际预算编制情况编列。</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报表金额单位转换时可能存在四舍五入尾数误差。 </w:t>
      </w:r>
      <w:bookmarkEnd w:id="21"/>
    </w:p>
    <w:p>
      <w:pPr>
        <w:rPr>
          <w:rFonts w:hint="eastAsia"/>
        </w:rPr>
      </w:pPr>
      <w:bookmarkStart w:id="22" w:name="PO_part2Table5"/>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95"/>
        <w:gridCol w:w="480"/>
        <w:gridCol w:w="919"/>
        <w:gridCol w:w="2717"/>
        <w:gridCol w:w="1704"/>
        <w:gridCol w:w="2080"/>
        <w:gridCol w:w="2126"/>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blHeader/>
        </w:trPr>
        <w:tc>
          <w:tcPr>
            <w:tcW w:w="14567" w:type="dxa"/>
            <w:gridSpan w:val="10"/>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预算公开05</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959" w:type="dxa"/>
            <w:gridSpan w:val="6"/>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1DivName5"/>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23"/>
            <w:r>
              <w:rPr>
                <w:rFonts w:ascii="宋体" w:hAnsi="宋体"/>
                <w:color w:val="000000"/>
                <w:kern w:val="0"/>
                <w:sz w:val="18"/>
                <w:szCs w:val="18"/>
              </w:rPr>
              <w:t xml:space="preserve">                      </w:t>
            </w:r>
          </w:p>
        </w:tc>
        <w:tc>
          <w:tcPr>
            <w:tcW w:w="7608" w:type="dxa"/>
            <w:gridSpan w:val="4"/>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科目编码</w:t>
            </w:r>
          </w:p>
        </w:tc>
        <w:tc>
          <w:tcPr>
            <w:tcW w:w="919"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7608" w:type="dxa"/>
            <w:gridSpan w:val="4"/>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widowControl/>
              <w:jc w:val="center"/>
              <w:textAlignment w:val="center"/>
              <w:rPr>
                <w:rFonts w:hint="eastAsia" w:ascii="宋体" w:hAnsi="宋体"/>
                <w:color w:val="000000"/>
                <w:sz w:val="18"/>
                <w:szCs w:val="18"/>
              </w:rPr>
            </w:pPr>
          </w:p>
        </w:tc>
        <w:tc>
          <w:tcPr>
            <w:tcW w:w="919" w:type="dxa"/>
            <w:vMerge w:val="continue"/>
            <w:noWrap w:val="0"/>
            <w:vAlign w:val="center"/>
          </w:tcPr>
          <w:p>
            <w:pPr>
              <w:widowControl/>
              <w:jc w:val="center"/>
              <w:textAlignment w:val="center"/>
              <w:rPr>
                <w:rFonts w:hint="eastAsia" w:ascii="宋体" w:hAnsi="宋体"/>
                <w:color w:val="000000"/>
                <w:sz w:val="18"/>
                <w:szCs w:val="18"/>
              </w:rPr>
            </w:pPr>
          </w:p>
        </w:tc>
        <w:tc>
          <w:tcPr>
            <w:tcW w:w="2717" w:type="dxa"/>
            <w:vMerge w:val="continue"/>
            <w:noWrap w:val="0"/>
            <w:vAlign w:val="center"/>
          </w:tcPr>
          <w:p>
            <w:pPr>
              <w:widowControl/>
              <w:jc w:val="center"/>
              <w:textAlignment w:val="center"/>
              <w:rPr>
                <w:rFonts w:hint="eastAsia" w:ascii="宋体" w:hAnsi="宋体"/>
                <w:color w:val="000000"/>
                <w:sz w:val="18"/>
                <w:szCs w:val="18"/>
              </w:rPr>
            </w:pPr>
          </w:p>
        </w:tc>
        <w:tc>
          <w:tcPr>
            <w:tcW w:w="1704" w:type="dxa"/>
            <w:vMerge w:val="continue"/>
            <w:tcBorders>
              <w:bottom w:val="single" w:color="auto" w:sz="4" w:space="0"/>
            </w:tcBorders>
            <w:noWrap w:val="0"/>
            <w:vAlign w:val="center"/>
          </w:tcPr>
          <w:p>
            <w:pPr>
              <w:widowControl/>
              <w:jc w:val="center"/>
              <w:textAlignment w:val="center"/>
              <w:rPr>
                <w:rFonts w:hint="eastAsia" w:ascii="宋体" w:hAnsi="宋体"/>
                <w:color w:val="000000"/>
                <w:sz w:val="18"/>
                <w:szCs w:val="18"/>
              </w:rPr>
            </w:pPr>
          </w:p>
        </w:tc>
        <w:tc>
          <w:tcPr>
            <w:tcW w:w="6049" w:type="dxa"/>
            <w:gridSpan w:val="3"/>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基本支出</w:t>
            </w:r>
          </w:p>
        </w:tc>
        <w:tc>
          <w:tcPr>
            <w:tcW w:w="1559" w:type="dxa"/>
            <w:vMerge w:val="restart"/>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jc w:val="right"/>
              <w:rPr>
                <w:rFonts w:hint="eastAsia" w:ascii="宋体" w:hAnsi="宋体"/>
                <w:color w:val="000000"/>
                <w:kern w:val="0"/>
                <w:sz w:val="18"/>
                <w:szCs w:val="18"/>
              </w:rPr>
            </w:pPr>
          </w:p>
        </w:tc>
        <w:tc>
          <w:tcPr>
            <w:tcW w:w="919" w:type="dxa"/>
            <w:vMerge w:val="continue"/>
            <w:noWrap w:val="0"/>
            <w:vAlign w:val="center"/>
          </w:tcPr>
          <w:p>
            <w:pPr>
              <w:jc w:val="right"/>
              <w:rPr>
                <w:rFonts w:hint="eastAsia" w:ascii="宋体" w:hAnsi="宋体"/>
                <w:color w:val="000000"/>
                <w:kern w:val="0"/>
                <w:sz w:val="18"/>
                <w:szCs w:val="18"/>
              </w:rPr>
            </w:pPr>
          </w:p>
        </w:tc>
        <w:tc>
          <w:tcPr>
            <w:tcW w:w="2717" w:type="dxa"/>
            <w:vMerge w:val="continue"/>
            <w:noWrap w:val="0"/>
            <w:vAlign w:val="center"/>
          </w:tcPr>
          <w:p>
            <w:pPr>
              <w:jc w:val="right"/>
              <w:rPr>
                <w:rFonts w:hint="eastAsia" w:ascii="宋体" w:hAnsi="宋体"/>
                <w:color w:val="000000"/>
                <w:kern w:val="0"/>
                <w:sz w:val="18"/>
                <w:szCs w:val="18"/>
              </w:rPr>
            </w:pPr>
          </w:p>
        </w:tc>
        <w:tc>
          <w:tcPr>
            <w:tcW w:w="1704"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c>
          <w:tcPr>
            <w:tcW w:w="2080"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2126"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1843"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c>
          <w:tcPr>
            <w:tcW w:w="1559"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44"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9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8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91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271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1704"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2080"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2126"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8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59"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381.9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353.3</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28.6</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381.9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353.3</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28.6</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109002</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百色市反腐倡廉教育基地管理中心</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381.9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353.3</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28.6</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事业运行</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271.27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271.27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242.67</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28.6</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43.55</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43.55</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43.55</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21.78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21.78</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21.78</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事业单位医疗</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12.64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12.64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12.64</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32.66</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32.66</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32.66</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rPr>
                <w:rFonts w:hint="eastAsia" w:ascii="宋体" w:hAnsi="宋体"/>
                <w:color w:val="000000"/>
                <w:kern w:val="0"/>
                <w:sz w:val="18"/>
                <w:szCs w:val="18"/>
              </w:rPr>
            </w:pPr>
          </w:p>
        </w:tc>
        <w:tc>
          <w:tcPr>
            <w:tcW w:w="495" w:type="dxa"/>
            <w:noWrap w:val="0"/>
            <w:vAlign w:val="center"/>
          </w:tcPr>
          <w:p>
            <w:pPr>
              <w:rPr>
                <w:rFonts w:hint="eastAsia" w:ascii="宋体" w:hAnsi="宋体"/>
                <w:color w:val="000000"/>
                <w:kern w:val="0"/>
                <w:sz w:val="18"/>
                <w:szCs w:val="18"/>
              </w:rPr>
            </w:pPr>
          </w:p>
        </w:tc>
        <w:tc>
          <w:tcPr>
            <w:tcW w:w="480" w:type="dxa"/>
            <w:noWrap w:val="0"/>
            <w:vAlign w:val="center"/>
          </w:tcPr>
          <w:p>
            <w:pPr>
              <w:rPr>
                <w:rFonts w:hint="eastAsia" w:ascii="宋体" w:hAnsi="宋体"/>
                <w:color w:val="000000"/>
                <w:kern w:val="0"/>
                <w:sz w:val="18"/>
                <w:szCs w:val="18"/>
              </w:rPr>
            </w:pPr>
          </w:p>
        </w:tc>
        <w:tc>
          <w:tcPr>
            <w:tcW w:w="919" w:type="dxa"/>
            <w:noWrap w:val="0"/>
            <w:vAlign w:val="center"/>
          </w:tcPr>
          <w:p>
            <w:pPr>
              <w:rPr>
                <w:rFonts w:hint="eastAsia" w:ascii="宋体" w:hAnsi="宋体"/>
                <w:color w:val="000000"/>
                <w:kern w:val="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p>
        </w:tc>
        <w:tc>
          <w:tcPr>
            <w:tcW w:w="1704" w:type="dxa"/>
            <w:noWrap w:val="0"/>
            <w:vAlign w:val="center"/>
          </w:tcPr>
          <w:p>
            <w:pPr>
              <w:widowControl/>
              <w:jc w:val="right"/>
              <w:textAlignment w:val="center"/>
              <w:rPr>
                <w:rFonts w:hint="eastAsia" w:ascii="宋体" w:hAnsi="宋体"/>
                <w:color w:val="000000"/>
                <w:kern w:val="0"/>
                <w:sz w:val="18"/>
                <w:szCs w:val="18"/>
              </w:rPr>
            </w:pPr>
          </w:p>
        </w:tc>
        <w:tc>
          <w:tcPr>
            <w:tcW w:w="2080" w:type="dxa"/>
            <w:noWrap w:val="0"/>
            <w:vAlign w:val="center"/>
          </w:tcPr>
          <w:p>
            <w:pPr>
              <w:widowControl/>
              <w:jc w:val="right"/>
              <w:textAlignment w:val="center"/>
              <w:rPr>
                <w:rFonts w:hint="eastAsia" w:ascii="宋体" w:hAnsi="宋体"/>
                <w:color w:val="000000"/>
                <w:sz w:val="18"/>
                <w:szCs w:val="18"/>
              </w:rPr>
            </w:pPr>
          </w:p>
        </w:tc>
        <w:tc>
          <w:tcPr>
            <w:tcW w:w="2126" w:type="dxa"/>
            <w:noWrap w:val="0"/>
            <w:vAlign w:val="center"/>
          </w:tcPr>
          <w:p>
            <w:pPr>
              <w:widowControl/>
              <w:jc w:val="right"/>
              <w:textAlignment w:val="center"/>
              <w:rPr>
                <w:rFonts w:hint="eastAsia" w:ascii="宋体" w:hAnsi="宋体"/>
                <w:color w:val="000000"/>
                <w:sz w:val="18"/>
                <w:szCs w:val="18"/>
              </w:rPr>
            </w:pPr>
          </w:p>
        </w:tc>
        <w:tc>
          <w:tcPr>
            <w:tcW w:w="1843" w:type="dxa"/>
            <w:noWrap w:val="0"/>
            <w:vAlign w:val="center"/>
          </w:tcPr>
          <w:p>
            <w:pPr>
              <w:widowControl/>
              <w:jc w:val="right"/>
              <w:textAlignment w:val="center"/>
              <w:rPr>
                <w:rFonts w:hint="eastAsia" w:ascii="宋体" w:hAnsi="宋体"/>
                <w:color w:val="000000"/>
                <w:sz w:val="18"/>
                <w:szCs w:val="18"/>
              </w:rPr>
            </w:pPr>
          </w:p>
        </w:tc>
        <w:tc>
          <w:tcPr>
            <w:tcW w:w="1559" w:type="dxa"/>
            <w:noWrap w:val="0"/>
            <w:vAlign w:val="center"/>
          </w:tcPr>
          <w:p>
            <w:pPr>
              <w:jc w:val="right"/>
              <w:rPr>
                <w:rFonts w:hint="eastAsia" w:ascii="宋体" w:hAnsi="宋体"/>
                <w:color w:val="000000"/>
                <w:kern w:val="0"/>
                <w:sz w:val="18"/>
                <w:szCs w:val="18"/>
              </w:rPr>
            </w:pPr>
          </w:p>
        </w:tc>
      </w:tr>
      <w:bookmarkEnd w:id="22"/>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4" w:name="PO_part2Table6"/>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预算公开06</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5"/>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5" w:name="PO_part2Table1DivName6"/>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25"/>
          </w:p>
        </w:tc>
        <w:tc>
          <w:tcPr>
            <w:tcW w:w="5104" w:type="dxa"/>
            <w:gridSpan w:val="2"/>
            <w:tcBorders>
              <w:top w:val="nil"/>
              <w:left w:val="nil"/>
              <w:bottom w:val="single" w:color="000000" w:sz="8"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类</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款</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381.9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353.3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353.3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353.3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94.17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94.17</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12.38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12.38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绩效工资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134.76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134.76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43.55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43.55</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职业年金缴费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21.78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21.78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12.37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12.37</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1.63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1.63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32.66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32.66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28.6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7.32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17.4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1531"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3061"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bookmarkEnd w:id="2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6" w:name="PO_part2Table7"/>
    </w:p>
    <w:tbl>
      <w:tblPr>
        <w:tblStyle w:val="11"/>
        <w:tblW w:w="1503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5"/>
        <w:gridCol w:w="1725"/>
        <w:gridCol w:w="1095"/>
        <w:gridCol w:w="1080"/>
        <w:gridCol w:w="855"/>
        <w:gridCol w:w="765"/>
        <w:gridCol w:w="1260"/>
        <w:gridCol w:w="1005"/>
        <w:gridCol w:w="795"/>
        <w:gridCol w:w="675"/>
        <w:gridCol w:w="750"/>
        <w:gridCol w:w="8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70" w:type="dxa"/>
            <w:gridSpan w:val="2"/>
            <w:tcBorders>
              <w:top w:val="nil"/>
              <w:left w:val="nil"/>
              <w:bottom w:val="nil"/>
              <w:right w:val="nil"/>
            </w:tcBorders>
            <w:noWrap w:val="0"/>
            <w:vAlign w:val="center"/>
          </w:tcPr>
          <w:p>
            <w:pPr>
              <w:jc w:val="right"/>
              <w:rPr>
                <w:rFonts w:hint="eastAsia" w:ascii="宋体" w:hAnsi="宋体"/>
                <w:color w:val="000000"/>
                <w:kern w:val="0"/>
                <w:sz w:val="18"/>
                <w:szCs w:val="18"/>
              </w:rPr>
            </w:pPr>
          </w:p>
        </w:tc>
        <w:tc>
          <w:tcPr>
            <w:tcW w:w="11760"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预算公开07</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030" w:type="dxa"/>
            <w:gridSpan w:val="14"/>
            <w:tcBorders>
              <w:top w:val="nil"/>
              <w:left w:val="nil"/>
              <w:bottom w:val="nil"/>
              <w:right w:val="nil"/>
            </w:tcBorders>
            <w:noWrap w:val="0"/>
            <w:vAlign w:val="center"/>
          </w:tcPr>
          <w:p>
            <w:pPr>
              <w:ind w:firstLine="522" w:firstLineChars="200"/>
              <w:jc w:val="center"/>
              <w:rPr>
                <w:rFonts w:hint="eastAsia" w:ascii="宋体" w:hAnsi="宋体"/>
                <w:b/>
                <w:bCs/>
                <w:color w:val="000000"/>
                <w:kern w:val="0"/>
                <w:sz w:val="26"/>
                <w:szCs w:val="26"/>
              </w:rPr>
            </w:pPr>
            <w:r>
              <w:rPr>
                <w:rFonts w:hint="eastAsia" w:ascii="宋体" w:hAnsi="宋体"/>
                <w:b/>
                <w:bCs/>
                <w:color w:val="000000"/>
                <w:kern w:val="0"/>
                <w:sz w:val="26"/>
                <w:szCs w:val="26"/>
              </w:rPr>
              <w:t>财政拨款“三公”经费、会议费和培训费支出情况表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95"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7" w:name="PO_part2Table1DivName7"/>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27"/>
          </w:p>
        </w:tc>
        <w:tc>
          <w:tcPr>
            <w:tcW w:w="10035" w:type="dxa"/>
            <w:gridSpan w:val="11"/>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26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tc>
        <w:tc>
          <w:tcPr>
            <w:tcW w:w="1725" w:type="dxa"/>
            <w:vMerge w:val="restart"/>
            <w:tcBorders>
              <w:top w:val="single" w:color="auto" w:sz="4" w:space="0"/>
            </w:tcBorders>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资金性质</w:t>
            </w:r>
          </w:p>
        </w:tc>
        <w:tc>
          <w:tcPr>
            <w:tcW w:w="109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总计</w:t>
            </w:r>
          </w:p>
        </w:tc>
        <w:tc>
          <w:tcPr>
            <w:tcW w:w="5760" w:type="dxa"/>
            <w:gridSpan w:val="6"/>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“三公”经费</w:t>
            </w:r>
          </w:p>
        </w:tc>
        <w:tc>
          <w:tcPr>
            <w:tcW w:w="67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会议费</w:t>
            </w:r>
          </w:p>
        </w:tc>
        <w:tc>
          <w:tcPr>
            <w:tcW w:w="2505"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85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因公出国（境）费</w:t>
            </w:r>
          </w:p>
        </w:tc>
        <w:tc>
          <w:tcPr>
            <w:tcW w:w="3030"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公务用车购置及运行维护费</w:t>
            </w:r>
          </w:p>
        </w:tc>
        <w:tc>
          <w:tcPr>
            <w:tcW w:w="795" w:type="dxa"/>
            <w:vMerge w:val="restart"/>
            <w:tcBorders>
              <w:top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公务接待费</w:t>
            </w: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885"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本级资金安排</w:t>
            </w:r>
          </w:p>
        </w:tc>
        <w:tc>
          <w:tcPr>
            <w:tcW w:w="87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continue"/>
            <w:noWrap w:val="0"/>
            <w:vAlign w:val="center"/>
          </w:tcPr>
          <w:p>
            <w:pPr>
              <w:jc w:val="center"/>
              <w:rPr>
                <w:rFonts w:hint="eastAsia" w:ascii="宋体" w:hAnsi="宋体"/>
                <w:color w:val="000000"/>
                <w:sz w:val="18"/>
                <w:szCs w:val="18"/>
              </w:rPr>
            </w:pPr>
          </w:p>
        </w:tc>
        <w:tc>
          <w:tcPr>
            <w:tcW w:w="855" w:type="dxa"/>
            <w:vMerge w:val="continue"/>
            <w:noWrap w:val="0"/>
            <w:vAlign w:val="center"/>
          </w:tcPr>
          <w:p>
            <w:pPr>
              <w:jc w:val="center"/>
              <w:rPr>
                <w:rFonts w:hint="eastAsia" w:ascii="宋体" w:hAnsi="宋体"/>
                <w:color w:val="000000"/>
                <w:sz w:val="18"/>
                <w:szCs w:val="18"/>
              </w:rPr>
            </w:pPr>
          </w:p>
        </w:tc>
        <w:tc>
          <w:tcPr>
            <w:tcW w:w="76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小计</w:t>
            </w:r>
          </w:p>
        </w:tc>
        <w:tc>
          <w:tcPr>
            <w:tcW w:w="1260"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公务用车运行维护费</w:t>
            </w:r>
          </w:p>
        </w:tc>
        <w:tc>
          <w:tcPr>
            <w:tcW w:w="100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公务用车购置费</w:t>
            </w:r>
          </w:p>
        </w:tc>
        <w:tc>
          <w:tcPr>
            <w:tcW w:w="795" w:type="dxa"/>
            <w:vMerge w:val="continue"/>
            <w:noWrap w:val="0"/>
            <w:vAlign w:val="center"/>
          </w:tcPr>
          <w:p>
            <w:pPr>
              <w:jc w:val="center"/>
              <w:rPr>
                <w:rFonts w:hint="eastAsia" w:ascii="宋体" w:hAnsi="宋体"/>
                <w:color w:val="000000"/>
                <w:sz w:val="18"/>
                <w:szCs w:val="18"/>
              </w:rPr>
            </w:pP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continue"/>
            <w:noWrap w:val="0"/>
            <w:vAlign w:val="center"/>
          </w:tcPr>
          <w:p>
            <w:pPr>
              <w:jc w:val="center"/>
              <w:textAlignment w:val="center"/>
              <w:rPr>
                <w:rFonts w:hint="eastAsia" w:ascii="宋体" w:hAnsi="宋体"/>
                <w:color w:val="000000"/>
                <w:sz w:val="18"/>
                <w:szCs w:val="18"/>
              </w:rPr>
            </w:pPr>
          </w:p>
        </w:tc>
        <w:tc>
          <w:tcPr>
            <w:tcW w:w="885" w:type="dxa"/>
            <w:vMerge w:val="continue"/>
            <w:noWrap w:val="0"/>
            <w:vAlign w:val="center"/>
          </w:tcPr>
          <w:p>
            <w:pPr>
              <w:jc w:val="center"/>
              <w:textAlignment w:val="center"/>
              <w:rPr>
                <w:rFonts w:hint="eastAsia" w:ascii="宋体" w:hAnsi="宋体"/>
                <w:color w:val="000000"/>
                <w:sz w:val="18"/>
                <w:szCs w:val="18"/>
              </w:rPr>
            </w:pPr>
          </w:p>
        </w:tc>
        <w:tc>
          <w:tcPr>
            <w:tcW w:w="870" w:type="dxa"/>
            <w:vMerge w:val="continue"/>
            <w:noWrap w:val="0"/>
            <w:vAlign w:val="center"/>
          </w:tcPr>
          <w:p>
            <w:pPr>
              <w:jc w:val="center"/>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noWrap w:val="0"/>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080"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5"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6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1260"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p>
        </w:tc>
        <w:tc>
          <w:tcPr>
            <w:tcW w:w="100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c>
          <w:tcPr>
            <w:tcW w:w="79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67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750"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9</w:t>
            </w:r>
          </w:p>
        </w:tc>
        <w:tc>
          <w:tcPr>
            <w:tcW w:w="885" w:type="dxa"/>
            <w:noWrap w:val="0"/>
            <w:vAlign w:val="center"/>
          </w:tcPr>
          <w:p>
            <w:pPr>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70" w:type="dxa"/>
            <w:noWrap w:val="0"/>
            <w:vAlign w:val="center"/>
          </w:tcPr>
          <w:p>
            <w:pPr>
              <w:jc w:val="center"/>
              <w:textAlignment w:val="center"/>
              <w:rPr>
                <w:rFonts w:hint="eastAsia" w:ascii="宋体" w:hAnsi="宋体" w:eastAsia="宋体"/>
                <w:color w:val="000000"/>
                <w:sz w:val="18"/>
                <w:szCs w:val="18"/>
                <w:lang w:val="en-US" w:eastAsia="zh-CN"/>
              </w:rPr>
            </w:pPr>
            <w:r>
              <w:rPr>
                <w:rFonts w:ascii="宋体" w:hAnsi="宋体"/>
                <w:color w:val="000000"/>
                <w:sz w:val="18"/>
                <w:szCs w:val="18"/>
              </w:rPr>
              <w:t>1</w:t>
            </w:r>
            <w:r>
              <w:rPr>
                <w:rFonts w:hint="eastAsia" w:ascii="宋体" w:hAnsi="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top"/>
          </w:tcPr>
          <w:p>
            <w:pPr>
              <w:widowControl/>
              <w:jc w:val="left"/>
              <w:textAlignment w:val="center"/>
              <w:rPr>
                <w:rFonts w:hint="eastAsia" w:ascii="宋体" w:hAnsi="宋体"/>
                <w:color w:val="000000"/>
                <w:sz w:val="18"/>
                <w:szCs w:val="18"/>
              </w:rPr>
            </w:pPr>
          </w:p>
        </w:tc>
        <w:tc>
          <w:tcPr>
            <w:tcW w:w="1725" w:type="dxa"/>
            <w:noWrap w:val="0"/>
            <w:vAlign w:val="center"/>
          </w:tcPr>
          <w:p>
            <w:pPr>
              <w:widowControl/>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p>
        </w:tc>
        <w:tc>
          <w:tcPr>
            <w:tcW w:w="1080" w:type="dxa"/>
            <w:noWrap w:val="0"/>
            <w:vAlign w:val="center"/>
          </w:tcPr>
          <w:p>
            <w:pPr>
              <w:widowControl/>
              <w:jc w:val="right"/>
              <w:textAlignment w:val="center"/>
              <w:rPr>
                <w:rFonts w:hint="eastAsia" w:ascii="宋体" w:hAnsi="宋体"/>
                <w:color w:val="000000"/>
                <w:sz w:val="18"/>
                <w:szCs w:val="18"/>
              </w:rPr>
            </w:pP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widowControl/>
              <w:jc w:val="right"/>
              <w:textAlignment w:val="center"/>
              <w:rPr>
                <w:rFonts w:hint="eastAsia" w:ascii="宋体" w:hAnsi="宋体"/>
                <w:color w:val="000000"/>
                <w:sz w:val="18"/>
                <w:szCs w:val="18"/>
              </w:rPr>
            </w:pPr>
          </w:p>
        </w:tc>
        <w:tc>
          <w:tcPr>
            <w:tcW w:w="675" w:type="dxa"/>
            <w:noWrap w:val="0"/>
            <w:vAlign w:val="center"/>
          </w:tcPr>
          <w:p>
            <w:pPr>
              <w:widowControl/>
              <w:jc w:val="right"/>
              <w:textAlignment w:val="center"/>
              <w:rPr>
                <w:rFonts w:hint="eastAsia" w:ascii="宋体" w:hAnsi="宋体"/>
                <w:color w:val="000000"/>
                <w:sz w:val="18"/>
                <w:szCs w:val="18"/>
              </w:rPr>
            </w:pPr>
          </w:p>
        </w:tc>
        <w:tc>
          <w:tcPr>
            <w:tcW w:w="750" w:type="dxa"/>
            <w:noWrap w:val="0"/>
            <w:vAlign w:val="center"/>
          </w:tcPr>
          <w:p>
            <w:pPr>
              <w:widowControl/>
              <w:jc w:val="right"/>
              <w:textAlignment w:val="center"/>
              <w:rPr>
                <w:rFonts w:hint="eastAsia" w:ascii="宋体" w:hAnsi="宋体"/>
                <w:color w:val="000000"/>
                <w:sz w:val="18"/>
                <w:szCs w:val="18"/>
              </w:rPr>
            </w:pPr>
          </w:p>
        </w:tc>
        <w:tc>
          <w:tcPr>
            <w:tcW w:w="885" w:type="dxa"/>
            <w:noWrap w:val="0"/>
            <w:vAlign w:val="center"/>
          </w:tcPr>
          <w:p>
            <w:pPr>
              <w:widowControl/>
              <w:jc w:val="right"/>
              <w:textAlignment w:val="center"/>
              <w:rPr>
                <w:rFonts w:hint="eastAsia" w:ascii="宋体" w:hAnsi="宋体"/>
                <w:color w:val="000000"/>
                <w:sz w:val="18"/>
                <w:szCs w:val="18"/>
              </w:rPr>
            </w:pPr>
          </w:p>
        </w:tc>
        <w:tc>
          <w:tcPr>
            <w:tcW w:w="870" w:type="dxa"/>
            <w:noWrap w:val="0"/>
            <w:vAlign w:val="center"/>
          </w:tcPr>
          <w:p>
            <w:pPr>
              <w:widowControl/>
              <w:jc w:val="right"/>
              <w:textAlignment w:val="center"/>
              <w:rPr>
                <w:rFonts w:hint="eastAsia" w:ascii="宋体" w:hAnsi="宋体"/>
                <w:color w:val="000000"/>
                <w:sz w:val="18"/>
                <w:szCs w:val="18"/>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28" w:name="PO_part2Table1Remark7"/>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olor w:val="000000"/>
          <w:kern w:val="0"/>
          <w:sz w:val="18"/>
          <w:szCs w:val="18"/>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年度没有一般公共预算“三公”经费</w:t>
      </w:r>
      <w:r>
        <w:rPr>
          <w:rFonts w:hint="eastAsia" w:ascii="宋体" w:hAnsi="宋体"/>
          <w:color w:val="000000"/>
          <w:kern w:val="0"/>
          <w:sz w:val="18"/>
          <w:szCs w:val="18"/>
          <w:lang w:val="en-US" w:eastAsia="zh-CN"/>
        </w:rPr>
        <w:t>预算支出</w:t>
      </w:r>
      <w:r>
        <w:rPr>
          <w:rFonts w:hint="eastAsia" w:ascii="宋体" w:hAnsi="宋体"/>
          <w:color w:val="000000"/>
          <w:kern w:val="0"/>
          <w:sz w:val="18"/>
          <w:szCs w:val="18"/>
        </w:rPr>
        <w:t>，故本表无数据。</w:t>
      </w:r>
      <w:bookmarkEnd w:id="26"/>
      <w:bookmarkEnd w:id="28"/>
      <w:r>
        <w:rPr>
          <w:rFonts w:hint="eastAsia" w:ascii="宋体" w:hAnsi="宋体"/>
          <w:color w:val="000000"/>
          <w:kern w:val="0"/>
          <w:sz w:val="18"/>
          <w:szCs w:val="18"/>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9" w:name="PO_part2Table8"/>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预算公开08</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0" w:name="PO_part2Table1DivName8"/>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30"/>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31" w:name="PO_part2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本报表金额单位转换时可能存在四舍五入尾数误差。</w:t>
      </w:r>
    </w:p>
    <w:p>
      <w:pPr>
        <w:rPr>
          <w:rFonts w:hint="eastAsia"/>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年度没有政府性基金预算支出，故本表无数据。</w:t>
      </w:r>
      <w:r>
        <w:rPr>
          <w:rFonts w:hint="eastAsia" w:ascii="宋体" w:hAnsi="宋体" w:cs="宋体"/>
          <w:color w:val="000000"/>
          <w:kern w:val="0"/>
          <w:sz w:val="18"/>
          <w:szCs w:val="18"/>
          <w:lang w:bidi="ar"/>
        </w:rPr>
        <w:t xml:space="preserve"> </w:t>
      </w:r>
      <w:bookmarkEnd w:id="29"/>
      <w:bookmarkEnd w:id="31"/>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br w:type="page"/>
      </w:r>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预算公开09</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 xml:space="preserve">单位名称：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 xml:space="preserve">注： </w:t>
      </w:r>
      <w:r>
        <w:rPr>
          <w:rFonts w:hint="eastAsia" w:ascii="宋体" w:hAnsi="宋体"/>
          <w:color w:val="000000"/>
          <w:kern w:val="0"/>
          <w:sz w:val="18"/>
          <w:szCs w:val="18"/>
        </w:rPr>
        <w:t>本报表金额单位转换时可能存在四舍五入尾数误差。</w:t>
      </w:r>
    </w:p>
    <w:p>
      <w:pPr>
        <w:rPr>
          <w:rFonts w:ascii="宋体" w:hAnsi="宋体" w:cs="宋体"/>
          <w:color w:val="000000"/>
          <w:kern w:val="0"/>
          <w:sz w:val="18"/>
          <w:szCs w:val="18"/>
          <w:lang w:bidi="ar"/>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年度没有国有资本经营预算支出，故本表无数据。</w:t>
      </w:r>
      <w:r>
        <w:rPr>
          <w:rFonts w:hint="eastAsia" w:ascii="宋体" w:hAnsi="宋体" w:cs="宋体"/>
          <w:color w:val="000000"/>
          <w:kern w:val="0"/>
          <w:sz w:val="18"/>
          <w:szCs w:val="18"/>
          <w:lang w:bidi="ar"/>
        </w:rPr>
        <w:t xml:space="preserve">    </w:t>
      </w:r>
    </w:p>
    <w:p>
      <w:pPr>
        <w:rPr>
          <w:rFonts w:hint="eastAsia" w:ascii="宋体" w:hAnsi="宋体"/>
          <w:color w:val="000000"/>
          <w:kern w:val="0"/>
          <w:sz w:val="18"/>
          <w:szCs w:val="18"/>
          <w:lang w:val="en-US" w:eastAsia="zh-CN"/>
        </w:rPr>
      </w:pPr>
    </w:p>
    <w:p>
      <w:pPr>
        <w:rPr>
          <w:rFonts w:hint="eastAsia" w:ascii="宋体" w:hAnsi="宋体"/>
          <w:color w:val="000000"/>
          <w:kern w:val="0"/>
          <w:sz w:val="18"/>
          <w:szCs w:val="18"/>
          <w:lang w:val="en-US" w:eastAsia="zh-CN"/>
        </w:rPr>
      </w:pPr>
    </w:p>
    <w:p>
      <w:pPr>
        <w:rPr>
          <w:rFonts w:hint="eastAsia" w:ascii="宋体" w:hAnsi="宋体"/>
          <w:b/>
          <w:bCs/>
          <w:color w:val="000000"/>
          <w:kern w:val="0"/>
          <w:sz w:val="26"/>
          <w:szCs w:val="26"/>
          <w:lang w:val="en-US" w:eastAsia="zh-CN"/>
        </w:rPr>
      </w:pPr>
      <w:r>
        <w:rPr>
          <w:rFonts w:hint="eastAsia" w:ascii="宋体" w:hAnsi="宋体"/>
          <w:b/>
          <w:bCs/>
          <w:color w:val="000000"/>
          <w:kern w:val="0"/>
          <w:sz w:val="26"/>
          <w:szCs w:val="26"/>
          <w:lang w:val="en-US" w:eastAsia="zh-CN"/>
        </w:rPr>
        <w:t>表10 市本级项目绩效目标公开表（详见附件）</w:t>
      </w:r>
    </w:p>
    <w:p>
      <w:pPr>
        <w:rPr>
          <w:rFonts w:hint="eastAsia" w:ascii="宋体" w:hAnsi="宋体"/>
          <w:b/>
          <w:bCs/>
          <w:color w:val="000000"/>
          <w:kern w:val="0"/>
          <w:sz w:val="26"/>
          <w:szCs w:val="26"/>
          <w:lang w:val="en-US" w:eastAsia="zh-CN"/>
        </w:rPr>
        <w:sectPr>
          <w:pgSz w:w="16838" w:h="11906" w:orient="landscape"/>
          <w:pgMar w:top="1800" w:right="1440" w:bottom="1800" w:left="1440" w:header="851" w:footer="992" w:gutter="0"/>
          <w:cols w:space="720" w:num="1"/>
          <w:docGrid w:type="lines" w:linePitch="312" w:charSpace="0"/>
        </w:sectPr>
      </w:pPr>
      <w:r>
        <w:rPr>
          <w:rFonts w:hint="eastAsia" w:ascii="宋体" w:hAnsi="宋体"/>
          <w:b/>
          <w:bCs/>
          <w:color w:val="000000"/>
          <w:kern w:val="0"/>
          <w:sz w:val="26"/>
          <w:szCs w:val="26"/>
          <w:lang w:val="en-US" w:eastAsia="zh-CN"/>
        </w:rPr>
        <w:t>表11 市本级重点项目绩效目标公开表（详见附件）</w:t>
      </w:r>
    </w:p>
    <w:p>
      <w:pPr>
        <w:rPr>
          <w:rFonts w:hint="eastAsia" w:ascii="宋体" w:hAnsi="宋体" w:cs="宋体"/>
          <w:color w:val="000000"/>
          <w:kern w:val="0"/>
          <w:sz w:val="18"/>
          <w:szCs w:val="18"/>
          <w:lang w:bidi="ar"/>
        </w:rPr>
      </w:pPr>
    </w:p>
    <w:p>
      <w:pPr>
        <w:tabs>
          <w:tab w:val="center" w:pos="6979"/>
        </w:tabs>
        <w:ind w:firstLine="440" w:firstLineChars="100"/>
        <w:jc w:val="center"/>
        <w:outlineLvl w:val="0"/>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2" w:name="PO_part3Year1"/>
      <w:r>
        <w:rPr>
          <w:rFonts w:hint="eastAsia" w:ascii="黑体" w:hAnsi="黑体" w:eastAsia="黑体" w:cs="方正小标宋简体"/>
          <w:sz w:val="44"/>
          <w:szCs w:val="44"/>
          <w:lang w:val="en-US" w:eastAsia="zh-CN"/>
        </w:rPr>
        <w:t>百色市反腐倡廉教育基地管理中心 2025</w:t>
      </w:r>
      <w:r>
        <w:rPr>
          <w:rFonts w:ascii="方正小标宋简体" w:hAnsi="方正小标宋简体" w:eastAsia="方正小标宋简体" w:cs="方正小标宋简体"/>
          <w:sz w:val="11"/>
          <w:szCs w:val="11"/>
        </w:rPr>
        <w:t xml:space="preserve"> </w:t>
      </w:r>
      <w:bookmarkEnd w:id="32"/>
      <w:r>
        <w:rPr>
          <w:rFonts w:hint="eastAsia" w:ascii="黑体" w:hAnsi="黑体" w:eastAsia="黑体" w:cs="方正小标宋简体"/>
          <w:sz w:val="44"/>
          <w:szCs w:val="44"/>
        </w:rPr>
        <w:t>年部门预算情况说明</w:t>
      </w:r>
    </w:p>
    <w:p>
      <w:pPr>
        <w:numPr>
          <w:ilvl w:val="0"/>
          <w:numId w:val="0"/>
        </w:numPr>
        <w:ind w:firstLine="640" w:firstLineChars="20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部门预算收支总体情况说明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11"/>
          <w:szCs w:val="11"/>
        </w:rPr>
      </w:pPr>
      <w:bookmarkStart w:id="33" w:name="PO_part3A1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33"/>
      <w:r>
        <w:rPr>
          <w:rFonts w:hint="eastAsia" w:ascii="仿宋_GB2312" w:hAnsi="仿宋_GB2312" w:eastAsia="仿宋_GB2312" w:cs="仿宋_GB2312"/>
          <w:sz w:val="30"/>
          <w:szCs w:val="30"/>
        </w:rPr>
        <w:t>年本单位</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收入381.9万元，</w:t>
      </w:r>
      <w:bookmarkStart w:id="34" w:name="PO_part3A1IncAmount1"/>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20.69万元，下降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5.14%，</w:t>
      </w:r>
      <w:r>
        <w:rPr>
          <w:rFonts w:hint="eastAsia"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rPr>
        <w:t>主要原因是：</w:t>
      </w:r>
      <w:bookmarkStart w:id="35" w:name="PO_part3A1IncReason1"/>
      <w:r>
        <w:rPr>
          <w:rFonts w:hint="eastAsia" w:ascii="仿宋_GB2312" w:hAnsi="仿宋_GB2312" w:eastAsia="仿宋_GB2312" w:cs="仿宋_GB2312"/>
          <w:sz w:val="30"/>
          <w:szCs w:val="30"/>
        </w:rPr>
        <w:t>一是2024年事业人员基础绩效增量预算为13个月的数值，2025年基础绩效增量预算为12个月的数值，故本年度基础绩效增量预算收入比上年少；二是基本养老保险和职业年金缴费基数比上年低，社保经费拨款减少。故预算收入比上年减少；</w:t>
      </w:r>
      <w:r>
        <w:rPr>
          <w:rFonts w:hint="eastAsia"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lang w:val="en-US" w:eastAsia="zh-CN"/>
        </w:rPr>
        <w:t>总支</w:t>
      </w:r>
      <w:r>
        <w:rPr>
          <w:rFonts w:hint="eastAsia" w:ascii="仿宋_GB2312" w:hAnsi="仿宋_GB2312" w:eastAsia="仿宋_GB2312" w:cs="仿宋_GB2312"/>
          <w:sz w:val="30"/>
          <w:szCs w:val="30"/>
        </w:rPr>
        <w:t>出</w:t>
      </w:r>
      <w:bookmarkStart w:id="36" w:name="PO_part3A1Amount2"/>
      <w:r>
        <w:rPr>
          <w:rFonts w:hint="eastAsia" w:ascii="仿宋_GB2312" w:hAnsi="仿宋_GB2312" w:eastAsia="仿宋_GB2312" w:cs="仿宋_GB2312"/>
          <w:sz w:val="30"/>
          <w:szCs w:val="30"/>
        </w:rPr>
        <w:t>381.9</w:t>
      </w:r>
      <w:r>
        <w:rPr>
          <w:rFonts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万元（不含财政拨款上年未列支结转收支数），</w:t>
      </w:r>
      <w:bookmarkStart w:id="37" w:name="PO_part3A1IncAmount2"/>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20.69</w:t>
      </w:r>
      <w:r>
        <w:rPr>
          <w:rFonts w:ascii="仿宋_GB2312" w:hAnsi="仿宋_GB2312" w:eastAsia="仿宋_GB2312" w:cs="仿宋_GB2312"/>
          <w:sz w:val="11"/>
          <w:szCs w:val="11"/>
        </w:rPr>
        <w:t xml:space="preserve"> </w:t>
      </w:r>
      <w:r>
        <w:rPr>
          <w:rFonts w:hint="eastAsia" w:ascii="仿宋_GB2312" w:hAnsi="仿宋_GB2312" w:eastAsia="仿宋_GB2312" w:cs="仿宋_GB2312"/>
          <w:sz w:val="30"/>
          <w:szCs w:val="30"/>
        </w:rPr>
        <w:t>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5.14%，</w:t>
      </w:r>
      <w:r>
        <w:rPr>
          <w:rFonts w:hint="eastAsia" w:ascii="仿宋_GB2312" w:hAnsi="仿宋_GB2312" w:eastAsia="仿宋_GB2312" w:cs="仿宋_GB2312"/>
          <w:sz w:val="11"/>
          <w:szCs w:val="11"/>
        </w:rPr>
        <w:t xml:space="preserve"> </w:t>
      </w:r>
      <w:bookmarkEnd w:id="37"/>
      <w:r>
        <w:rPr>
          <w:rFonts w:hint="eastAsia" w:ascii="仿宋_GB2312" w:hAnsi="仿宋_GB2312" w:eastAsia="仿宋_GB2312" w:cs="仿宋_GB2312"/>
          <w:sz w:val="30"/>
          <w:szCs w:val="30"/>
        </w:rPr>
        <w:t>主要原因是：</w:t>
      </w:r>
      <w:bookmarkStart w:id="38" w:name="PO_part3A1IncReason2"/>
      <w:r>
        <w:rPr>
          <w:rFonts w:hint="eastAsia" w:ascii="仿宋_GB2312" w:hAnsi="仿宋_GB2312" w:eastAsia="仿宋_GB2312" w:cs="仿宋_GB2312"/>
          <w:sz w:val="30"/>
          <w:szCs w:val="30"/>
        </w:rPr>
        <w:t>一是2024年事业人员基础绩效增量预算为13个月的数值，2025年基础绩效增量预算为12个月的数值，故本年度基础绩效增量预算支出比上年少；二是基本养老保险和职业年金缴费基数比上年低，社保经费拨款减少。故预算总支出减少。</w:t>
      </w:r>
      <w:r>
        <w:rPr>
          <w:rFonts w:hint="eastAsia" w:ascii="仿宋_GB2312" w:hAnsi="仿宋_GB2312" w:eastAsia="仿宋_GB2312" w:cs="仿宋_GB2312"/>
          <w:sz w:val="11"/>
          <w:szCs w:val="11"/>
        </w:rPr>
        <w:t xml:space="preserve"> </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220" w:firstLineChars="200"/>
        <w:textAlignment w:val="auto"/>
        <w:rPr>
          <w:rFonts w:hint="eastAsia" w:ascii="仿宋_GB2312" w:hAnsi="仿宋_GB2312" w:eastAsia="仿宋_GB2312" w:cs="仿宋_GB2312"/>
          <w:sz w:val="11"/>
          <w:szCs w:val="11"/>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部门收入总体情况说明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年收入总预算</w:t>
      </w:r>
      <w:bookmarkStart w:id="39" w:name="PO_part3A2Amount1"/>
      <w:r>
        <w:rPr>
          <w:rFonts w:hint="eastAsia" w:ascii="仿宋_GB2312" w:hAnsi="仿宋_GB2312" w:eastAsia="仿宋_GB2312" w:cs="仿宋_GB2312"/>
          <w:sz w:val="30"/>
          <w:szCs w:val="30"/>
        </w:rPr>
        <w:t>381.9</w:t>
      </w:r>
      <w:r>
        <w:rPr>
          <w:rFonts w:hint="eastAsia"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万元，</w:t>
      </w:r>
      <w:bookmarkStart w:id="40" w:name="PO_part3A2IncAmount1"/>
      <w:r>
        <w:rPr>
          <w:rFonts w:hint="eastAsia" w:ascii="仿宋_GB2312" w:hAnsi="仿宋_GB2312" w:eastAsia="仿宋_GB2312" w:cs="仿宋_GB2312"/>
          <w:sz w:val="30"/>
          <w:szCs w:val="30"/>
        </w:rPr>
        <w:t xml:space="preserve">比上年减少20.69万元，下降5.14%。 </w:t>
      </w:r>
      <w:bookmarkEnd w:id="40"/>
      <w:r>
        <w:rPr>
          <w:rFonts w:hint="eastAsia" w:ascii="仿宋_GB2312" w:hAnsi="仿宋_GB2312" w:eastAsia="仿宋_GB2312" w:cs="仿宋_GB2312"/>
          <w:sz w:val="30"/>
          <w:szCs w:val="30"/>
        </w:rPr>
        <w:t>其中：</w:t>
      </w:r>
      <w:bookmarkStart w:id="41" w:name="PO_part3A2IncReason1"/>
      <w:r>
        <w:rPr>
          <w:rFonts w:hint="eastAsia" w:ascii="仿宋_GB2312" w:hAnsi="仿宋_GB2312" w:eastAsia="仿宋_GB2312" w:cs="仿宋_GB2312"/>
          <w:sz w:val="30"/>
          <w:szCs w:val="30"/>
        </w:rPr>
        <w:t xml:space="preserve">一般公共预算收入381.9万元，占收入总预算100.00%，比上年减少20.69万元，下降5.14%；政府性基金预算收入0万元，占收入总预算0.00%，与上年持平，无增减变化；国有资本经营预算0万元，占收入总预算0.00%，与上年持平，无增减变化；财政专户管理资金0万元，占收入总预算0.00%，与上年持平，无增减变化；单位资金0万元，占收入总预算0.00%，与上年持平，无增减变化；上年结转结余0万元，占收入总预算0.00%，与上年持平，无增减变化。 </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年收入预算总体</w:t>
      </w:r>
      <w:bookmarkStart w:id="42" w:name="PO_part3A2Amount2"/>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42"/>
      <w:r>
        <w:rPr>
          <w:rFonts w:hint="eastAsia" w:ascii="仿宋_GB2312" w:hAnsi="仿宋_GB2312" w:eastAsia="仿宋_GB2312" w:cs="仿宋_GB2312"/>
          <w:sz w:val="30"/>
          <w:szCs w:val="30"/>
        </w:rPr>
        <w:t>，主要原因是：</w:t>
      </w:r>
      <w:bookmarkStart w:id="43" w:name="PO_part3A2IncReason2"/>
      <w:r>
        <w:rPr>
          <w:rFonts w:hint="eastAsia" w:ascii="仿宋_GB2312" w:hAnsi="仿宋_GB2312" w:eastAsia="仿宋_GB2312" w:cs="仿宋_GB2312"/>
          <w:sz w:val="30"/>
          <w:szCs w:val="30"/>
        </w:rPr>
        <w:t>一是2024年事业人员基础绩效增量预算为13个月的数值，2025年基础绩效预算为12个月的数值，故本年度基础绩效增量预算拨款比上年少；二是基本养老保险和职业年金缴费基数比上年低，社保经费拨款减少。故收入预算总体比上年减少。</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43"/>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部门支出总体情况说明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44" w:name="PO_part3A3Amount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年支出总预算</w:t>
      </w:r>
      <w:bookmarkStart w:id="45" w:name="PO_part3A3Amount2"/>
      <w:r>
        <w:rPr>
          <w:rFonts w:hint="eastAsia" w:ascii="仿宋_GB2312" w:hAnsi="仿宋_GB2312" w:eastAsia="仿宋_GB2312" w:cs="仿宋_GB2312"/>
          <w:sz w:val="30"/>
          <w:szCs w:val="30"/>
        </w:rPr>
        <w:t>381.9</w:t>
      </w:r>
      <w:r>
        <w:rPr>
          <w:rFonts w:hint="eastAsia"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万元，其中：基本支出预算</w:t>
      </w:r>
      <w:bookmarkStart w:id="46" w:name="PO_part3A3Amount3"/>
      <w:r>
        <w:rPr>
          <w:rFonts w:hint="eastAsia" w:ascii="仿宋_GB2312" w:hAnsi="仿宋_GB2312" w:eastAsia="仿宋_GB2312" w:cs="仿宋_GB2312"/>
          <w:sz w:val="30"/>
          <w:szCs w:val="30"/>
        </w:rPr>
        <w:t>381.9</w:t>
      </w:r>
      <w:r>
        <w:rPr>
          <w:rFonts w:hint="eastAsia"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万元，占支出总预算</w:t>
      </w:r>
      <w:bookmarkStart w:id="47" w:name="PO_part3A3Amount4"/>
      <w:r>
        <w:rPr>
          <w:rFonts w:hint="eastAsia" w:ascii="仿宋_GB2312" w:hAnsi="仿宋_GB2312" w:eastAsia="仿宋_GB2312" w:cs="仿宋_GB2312"/>
          <w:sz w:val="30"/>
          <w:szCs w:val="30"/>
        </w:rPr>
        <w:t>100.00</w:t>
      </w:r>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w:t>
      </w:r>
      <w:bookmarkStart w:id="48" w:name="PO_part3A3IncReason1"/>
      <w:r>
        <w:rPr>
          <w:rFonts w:hint="eastAsia" w:ascii="仿宋_GB2312" w:hAnsi="仿宋_GB2312" w:eastAsia="仿宋_GB2312" w:cs="仿宋_GB2312"/>
          <w:sz w:val="30"/>
          <w:szCs w:val="30"/>
        </w:rPr>
        <w:t>比上年减少20.69万元，下降5.14%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原因是：一是2024年事业人员基础绩效增量预算为13个月的数值，2025年基础绩效增量预算为12个月的数值，故本年度基础绩效增量预算支出比上年少；二是基本养老保险和职业年金缴费基数比上年低，社保缴费支出相应减少。故支出总预算比上年减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项目支出预算</w:t>
      </w:r>
      <w:bookmarkStart w:id="49" w:name="PO_part3A3Amount5"/>
      <w:r>
        <w:rPr>
          <w:rFonts w:hint="eastAsia" w:ascii="仿宋_GB2312" w:hAnsi="仿宋_GB2312" w:eastAsia="仿宋_GB2312" w:cs="仿宋_GB2312"/>
          <w:sz w:val="30"/>
          <w:szCs w:val="30"/>
        </w:rPr>
        <w:t>0</w:t>
      </w:r>
      <w:bookmarkEnd w:id="49"/>
      <w:r>
        <w:rPr>
          <w:rFonts w:hint="eastAsia" w:ascii="仿宋_GB2312" w:hAnsi="仿宋_GB2312" w:eastAsia="仿宋_GB2312" w:cs="仿宋_GB2312"/>
          <w:sz w:val="30"/>
          <w:szCs w:val="30"/>
        </w:rPr>
        <w:t>万元，占支出总预算</w:t>
      </w:r>
      <w:bookmarkStart w:id="50" w:name="PO_part3A3Amount6"/>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w:t>
      </w:r>
      <w:bookmarkStart w:id="51" w:name="PO_part3A3IncReason2"/>
      <w:r>
        <w:rPr>
          <w:rFonts w:hint="eastAsia" w:ascii="仿宋_GB2312" w:hAnsi="仿宋_GB2312" w:eastAsia="仿宋_GB2312" w:cs="仿宋_GB2312"/>
          <w:sz w:val="30"/>
          <w:szCs w:val="30"/>
        </w:rPr>
        <w:t>与上年持平，无增减变化。</w:t>
      </w:r>
      <w:bookmarkEnd w:id="51"/>
      <w:bookmarkStart w:id="52" w:name="PO_part3A3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52"/>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财政拨款收支总体情况说明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bookmarkStart w:id="53" w:name="PO_part3A4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年财政拨款收入总预算381.9万元，</w:t>
      </w:r>
      <w:bookmarkStart w:id="54" w:name="PO_part3A4IncAmount1"/>
      <w:r>
        <w:rPr>
          <w:rFonts w:hint="eastAsia" w:ascii="仿宋_GB2312" w:hAnsi="仿宋_GB2312" w:eastAsia="仿宋_GB2312" w:cs="仿宋_GB2312"/>
          <w:sz w:val="30"/>
          <w:szCs w:val="30"/>
        </w:rPr>
        <w:t>比上年减少20.69万元，下降5.14%。</w:t>
      </w:r>
      <w:bookmarkEnd w:id="54"/>
      <w:bookmarkStart w:id="55" w:name="PO_part3A4IncReason1"/>
      <w:r>
        <w:rPr>
          <w:rFonts w:hint="eastAsia" w:ascii="仿宋_GB2312" w:hAnsi="仿宋_GB2312" w:eastAsia="仿宋_GB2312" w:cs="仿宋_GB2312"/>
          <w:sz w:val="30"/>
          <w:szCs w:val="30"/>
        </w:rPr>
        <w:t>收入包括：一般公共预算拨款381.9万元；政府性基金预算拨款0.00万元；国有资本经营预算拨款0.00万元；上年结转结余0.00万元。</w:t>
      </w:r>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财政拨款</w:t>
      </w:r>
      <w:bookmarkStart w:id="56" w:name="PO_part3A4IncAmount2"/>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主要原因是：</w:t>
      </w:r>
      <w:bookmarkStart w:id="57" w:name="PO_part3A4IncReason2"/>
      <w:r>
        <w:rPr>
          <w:rFonts w:hint="eastAsia" w:ascii="仿宋_GB2312" w:hAnsi="仿宋_GB2312" w:eastAsia="仿宋_GB2312" w:cs="仿宋_GB2312"/>
          <w:sz w:val="30"/>
          <w:szCs w:val="30"/>
        </w:rPr>
        <w:t>一是2024年事业人员基础绩效增量预算为13个月的数值，2025年基础绩效增量预算为12个月的数值，故本年度基础绩效增量预算拨款比上年少；二是基本养老保险和职业年金缴费基数比上年降低，社保缴费支出相应减少。故财政拨款收入总预算减少。</w:t>
      </w:r>
      <w:bookmarkEnd w:id="5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年财政拨款支出总预算381.9万元，</w:t>
      </w:r>
      <w:bookmarkStart w:id="58" w:name="PO_part3A4IncAmount3"/>
      <w:r>
        <w:rPr>
          <w:rFonts w:hint="eastAsia" w:ascii="仿宋_GB2312" w:hAnsi="仿宋_GB2312" w:eastAsia="仿宋_GB2312" w:cs="仿宋_GB2312"/>
          <w:sz w:val="30"/>
          <w:szCs w:val="30"/>
        </w:rPr>
        <w:t>比上年减少20.69万元，下降5.14%。</w:t>
      </w:r>
      <w:r>
        <w:rPr>
          <w:rFonts w:hint="eastAsia" w:ascii="仿宋_GB2312" w:hAnsi="仿宋_GB2312" w:eastAsia="仿宋_GB2312" w:cs="仿宋_GB2312"/>
          <w:sz w:val="11"/>
          <w:szCs w:val="11"/>
        </w:rPr>
        <w:t xml:space="preserve"> </w:t>
      </w:r>
      <w:bookmarkEnd w:id="58"/>
      <w:bookmarkStart w:id="59" w:name="PO_part3A4IncReason3"/>
      <w:r>
        <w:rPr>
          <w:rFonts w:hint="eastAsia" w:ascii="仿宋_GB2312" w:hAnsi="仿宋_GB2312" w:eastAsia="仿宋_GB2312" w:cs="仿宋_GB2312"/>
          <w:sz w:val="30"/>
          <w:szCs w:val="30"/>
        </w:rPr>
        <w:t>支出包括：一般公共服务支出271.27万元、社会保障和就业支出65.33万元、卫生健康支出12.64万元、住房保障支出32.66万元。</w:t>
      </w:r>
      <w:r>
        <w:rPr>
          <w:rFonts w:hint="eastAsia"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财政拨款支出</w:t>
      </w:r>
      <w:bookmarkStart w:id="60" w:name="PO_part3A4IncAmount4"/>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主要原因是：</w:t>
      </w:r>
      <w:bookmarkStart w:id="61" w:name="PO_part3A4IncReason4"/>
      <w:r>
        <w:rPr>
          <w:rFonts w:hint="eastAsia" w:ascii="仿宋_GB2312" w:hAnsi="仿宋_GB2312" w:eastAsia="仿宋_GB2312" w:cs="仿宋_GB2312"/>
          <w:sz w:val="30"/>
          <w:szCs w:val="30"/>
        </w:rPr>
        <w:t>一是2024年事业人员基础绩效增量预算为13个月的数值，2025年基础绩效增量预算为12个月的数值，故本年度基础绩效增量预算支出比上年少；二是基本养老保险和职业年金缴费基数比上年低，社保缴费支出相应减少。故财政拨款总支出减少。</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61"/>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一般公共预算支出情况说明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bookmarkStart w:id="62" w:name="PO_part3A5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年一般公共预算拨款支出</w:t>
      </w:r>
      <w:bookmarkStart w:id="63" w:name="PO_part3A5Amount1"/>
      <w:r>
        <w:rPr>
          <w:rFonts w:hint="eastAsia" w:ascii="仿宋_GB2312" w:hAnsi="仿宋_GB2312" w:eastAsia="仿宋_GB2312" w:cs="仿宋_GB2312"/>
          <w:sz w:val="30"/>
          <w:szCs w:val="30"/>
        </w:rPr>
        <w:t>381.9</w:t>
      </w:r>
      <w:r>
        <w:rPr>
          <w:rFonts w:hint="eastAsia"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万元，</w:t>
      </w:r>
      <w:bookmarkStart w:id="64" w:name="PO_part3A5IncAmount1"/>
      <w:r>
        <w:rPr>
          <w:rFonts w:hint="eastAsia" w:ascii="仿宋_GB2312" w:hAnsi="仿宋_GB2312" w:eastAsia="仿宋_GB2312" w:cs="仿宋_GB2312"/>
          <w:sz w:val="30"/>
          <w:szCs w:val="30"/>
        </w:rPr>
        <w:t>比上年减少20.69万元，下降5.14%。</w:t>
      </w:r>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其中：基本支出381.9万元，项目支出0万元。具体支出预算如下：</w:t>
      </w:r>
      <w:bookmarkStart w:id="65" w:name="PO_part3A5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一般公共服务支出（类）纪检监察事务（款）事业运行（项）支出271.27万元，比上年减少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5.63万元，下降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2.03%。主要原因是：一是2024年事业人员基础绩效增量预算为13个月的数值，2025年基础绩效增量预算为12个月的数值，故本年度事业人员工资福利支出减少，事业运行支出相应减少。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社会保障和就业支出（类）行政事业单位养老支出（款）机关事业单位基本养老保险缴费支出（项）支出43.55万元，比上年减少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10.74万元，下降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19.78%。主要原因是：基本养老保险缴费基数比上年降低，基本养老保险缴费减少。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社会保障和就业支出（类）行政事业单位养老支出（款）机关事业单位职业年金缴费支出（项）支出21.78万元，比上年减少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5.37万元，下降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19.78%。主要原因是：职业年金缴费基数比上年低，职业年金缴费减少。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卫生健康支出（类）行政事业单位医疗（款）事业单位医疗（项）支出12.64万元，比上年增加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0.13万元，增长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1.04%。主要原因是：</w:t>
      </w:r>
      <w:r>
        <w:rPr>
          <w:rFonts w:hint="eastAsia" w:ascii="仿宋_GB2312" w:hAnsi="仿宋_GB2312" w:eastAsia="仿宋_GB2312" w:cs="仿宋_GB2312"/>
          <w:sz w:val="30"/>
          <w:szCs w:val="30"/>
          <w:lang w:val="en-US" w:eastAsia="zh-CN"/>
        </w:rPr>
        <w:t>事业在职人员正常晋升工资，工资收入增加，医疗保险缴费基数比上年高，故医疗保险缴费支出增加。</w:t>
      </w:r>
    </w:p>
    <w:p>
      <w:pPr>
        <w:widowControl w:val="0"/>
        <w:numPr>
          <w:ilvl w:val="0"/>
          <w:numId w:val="0"/>
        </w:numPr>
        <w:ind w:firstLine="600" w:firstLineChars="200"/>
        <w:jc w:val="both"/>
        <w:rPr>
          <w:rFonts w:hint="eastAsia" w:ascii="仿宋_GB2312" w:hAnsi="仿宋_GB2312" w:eastAsia="仿宋_GB2312" w:cs="仿宋_GB2312"/>
          <w:sz w:val="30"/>
          <w:szCs w:val="30"/>
          <w:lang w:val="en-US" w:eastAsia="zh-CN"/>
        </w:rPr>
      </w:pPr>
      <w:bookmarkStart w:id="82" w:name="_GoBack"/>
      <w:bookmarkEnd w:id="82"/>
      <w:r>
        <w:rPr>
          <w:rFonts w:hint="eastAsia" w:ascii="仿宋_GB2312" w:hAnsi="仿宋_GB2312" w:eastAsia="仿宋_GB2312" w:cs="仿宋_GB2312"/>
          <w:sz w:val="30"/>
          <w:szCs w:val="30"/>
        </w:rPr>
        <w:t>住房保障支出（类）住房改革支出（款）住房公积金（项）支出32.66万元，比上年增加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0.92万元，增长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2.90%。主要原因是：</w:t>
      </w:r>
      <w:r>
        <w:rPr>
          <w:rFonts w:hint="eastAsia" w:ascii="仿宋_GB2312" w:hAnsi="仿宋_GB2312" w:eastAsia="仿宋_GB2312" w:cs="仿宋_GB2312"/>
          <w:sz w:val="30"/>
          <w:szCs w:val="30"/>
          <w:lang w:val="en-US" w:eastAsia="zh-CN"/>
        </w:rPr>
        <w:t>事业在职人员正常晋升工资，工资收入增加，公积金缴存基数比上年高，故公积金缴存支出增加。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65"/>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年一般公共预算基本支出</w:t>
      </w:r>
      <w:bookmarkStart w:id="66" w:name="PO_part3A6Amount1"/>
      <w:r>
        <w:rPr>
          <w:rFonts w:hint="eastAsia" w:ascii="仿宋_GB2312" w:hAnsi="仿宋_GB2312" w:eastAsia="仿宋_GB2312" w:cs="仿宋_GB2312"/>
          <w:sz w:val="30"/>
          <w:szCs w:val="30"/>
        </w:rPr>
        <w:t>381.9</w:t>
      </w:r>
      <w:r>
        <w:rPr>
          <w:rFonts w:hint="eastAsia"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w:t>
      </w:r>
      <w:bookmarkStart w:id="67" w:name="PO_part3A6IncAmount1"/>
      <w:r>
        <w:rPr>
          <w:rFonts w:hint="eastAsia" w:ascii="仿宋_GB2312" w:hAnsi="仿宋_GB2312" w:eastAsia="仿宋_GB2312" w:cs="仿宋_GB2312"/>
          <w:sz w:val="30"/>
          <w:szCs w:val="30"/>
        </w:rPr>
        <w:t>比上年减少20.69万元，下降5.14%。</w:t>
      </w:r>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人员经费</w:t>
      </w:r>
      <w:bookmarkStart w:id="68" w:name="PO_part3A6Amount2"/>
      <w:r>
        <w:rPr>
          <w:rFonts w:hint="eastAsia" w:ascii="仿宋_GB2312" w:hAnsi="仿宋_GB2312" w:eastAsia="仿宋_GB2312" w:cs="仿宋_GB2312"/>
          <w:sz w:val="30"/>
          <w:szCs w:val="30"/>
        </w:rPr>
        <w:t>353.3</w:t>
      </w:r>
      <w:r>
        <w:rPr>
          <w:rFonts w:hint="eastAsia"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w:t>
      </w:r>
      <w:bookmarkStart w:id="69" w:name="PO_part3A6IncAmount2"/>
      <w:r>
        <w:rPr>
          <w:rFonts w:hint="eastAsia" w:ascii="仿宋_GB2312" w:hAnsi="仿宋_GB2312" w:eastAsia="仿宋_GB2312" w:cs="仿宋_GB2312"/>
          <w:sz w:val="30"/>
          <w:szCs w:val="30"/>
        </w:rPr>
        <w:t>比上年减少20.69万元，下降5.53%</w:t>
      </w:r>
      <w:r>
        <w:rPr>
          <w:rFonts w:hint="eastAsia" w:ascii="仿宋_GB2312" w:hAnsi="仿宋_GB2312" w:eastAsia="仿宋_GB2312" w:cs="仿宋_GB2312"/>
          <w:sz w:val="30"/>
          <w:szCs w:val="30"/>
          <w:lang w:eastAsia="zh-CN"/>
        </w:rPr>
        <w:t>，</w:t>
      </w:r>
      <w:bookmarkEnd w:id="69"/>
      <w:r>
        <w:rPr>
          <w:rFonts w:hint="eastAsia" w:ascii="仿宋_GB2312" w:hAnsi="仿宋_GB2312" w:eastAsia="仿宋_GB2312" w:cs="仿宋_GB2312"/>
          <w:sz w:val="30"/>
          <w:szCs w:val="30"/>
        </w:rPr>
        <w:t>主要包括：</w:t>
      </w:r>
      <w:bookmarkStart w:id="70" w:name="PO_part3A6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工资福利支出（类）基本工资（款）支出94.17万元。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工资福利支出（类）津贴补贴（款）支出12.38万元。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工资福利支出（类）绩效工资（款）支出134.76万元。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工资福利支出（类）机关事业单位基本养老保险缴费（款）支出43.55万元。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工资福利支出（类）职业年金缴费（款）支出21.78万元。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工资福利支出（类）职工基本医疗保险缴费（款）支出12.37万元。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工资福利支出（类）其他社会保障缴费（款）支出1.63万元。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工资福利支出（类）住房公积金（款）支出32.66万元。</w:t>
      </w:r>
      <w:bookmarkEnd w:id="7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公用经费28.6万元，</w:t>
      </w:r>
      <w:bookmarkStart w:id="71" w:name="PO_part3A6IncAmount3"/>
      <w:r>
        <w:rPr>
          <w:rFonts w:hint="eastAsia" w:ascii="仿宋_GB2312" w:hAnsi="仿宋_GB2312" w:eastAsia="仿宋_GB2312" w:cs="仿宋_GB2312"/>
          <w:sz w:val="30"/>
          <w:szCs w:val="30"/>
        </w:rPr>
        <w:t>与上年持平，无增减变化。</w:t>
      </w:r>
      <w:r>
        <w:rPr>
          <w:rFonts w:hint="eastAsia"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主要包括：</w:t>
      </w:r>
      <w:bookmarkStart w:id="72" w:name="PO_part3A6IncReason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商品和服务支出（类）办公费（款）支出1.96万元。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商品和服务支出（类）邮电费（款）支出7.32万元。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商品和服务支出（类）福利费（款）支出1.92万元。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商品和服务支出（类）其他商品和服务支出（款）支出17.4万元。</w:t>
      </w:r>
    </w:p>
    <w:bookmarkEnd w:id="72"/>
    <w:p>
      <w:pPr>
        <w:ind w:firstLine="600" w:firstLineChars="200"/>
        <w:rPr>
          <w:rFonts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一般公共预算“三公”经费安排情况说明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US" w:eastAsia="zh-CN"/>
        </w:rPr>
        <w:t>2025年一般公共预算安排的“三公”经费支出预算0.00万元，同口径比</w:t>
      </w: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lang w:val="en-US" w:eastAsia="zh-CN"/>
        </w:rPr>
        <w:t>年预算</w:t>
      </w:r>
      <w:bookmarkStart w:id="73" w:name="PO_part3A7Amount9"/>
      <w:r>
        <w:rPr>
          <w:rFonts w:hint="eastAsia" w:ascii="仿宋_GB2312" w:hAnsi="仿宋_GB2312" w:eastAsia="仿宋_GB2312" w:cs="仿宋_GB2312"/>
          <w:sz w:val="30"/>
          <w:szCs w:val="30"/>
          <w:lang w:val="en-US" w:eastAsia="zh-CN"/>
        </w:rPr>
        <w:t xml:space="preserve">0.00 </w:t>
      </w:r>
      <w:bookmarkEnd w:id="73"/>
      <w:r>
        <w:rPr>
          <w:rFonts w:hint="eastAsia" w:ascii="仿宋_GB2312" w:hAnsi="仿宋_GB2312" w:eastAsia="仿宋_GB2312" w:cs="仿宋_GB2312"/>
          <w:sz w:val="30"/>
          <w:szCs w:val="30"/>
          <w:lang w:val="en-US" w:eastAsia="zh-CN"/>
        </w:rPr>
        <w:t>万元，与上年持平，无增减变化。</w:t>
      </w:r>
      <w:r>
        <w:rPr>
          <w:rFonts w:hint="eastAsia" w:ascii="仿宋_GB2312" w:hAnsi="仿宋_GB2312" w:eastAsia="仿宋_GB2312" w:cs="仿宋_GB2312"/>
          <w:sz w:val="11"/>
          <w:szCs w:val="11"/>
        </w:rPr>
        <w:t xml:space="preserve"> </w:t>
      </w:r>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1.因公出国（境）经费预算</w:t>
      </w:r>
      <w:bookmarkStart w:id="74" w:name="PO_part3A7Amount10"/>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万元，与上年持平，无增减变化。</w:t>
      </w:r>
      <w:r>
        <w:rPr>
          <w:rFonts w:hint="eastAsia" w:asci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2.公务接待费预算</w:t>
      </w:r>
      <w:bookmarkStart w:id="75" w:name="PO_part3A7Amount11"/>
      <w:r>
        <w:rPr>
          <w:rFonts w:hint="eastAsia" w:ascii="仿宋_GB2312" w:hAnsi="仿宋_GB2312" w:eastAsia="仿宋_GB2312" w:cs="仿宋_GB2312"/>
          <w:sz w:val="30"/>
          <w:szCs w:val="30"/>
        </w:rPr>
        <w:t>0.00</w:t>
      </w:r>
      <w:bookmarkEnd w:id="75"/>
      <w:r>
        <w:rPr>
          <w:rFonts w:hint="eastAsia" w:ascii="仿宋_GB2312" w:hAnsi="仿宋_GB2312" w:eastAsia="仿宋_GB2312" w:cs="仿宋_GB2312"/>
          <w:sz w:val="30"/>
          <w:szCs w:val="30"/>
        </w:rPr>
        <w:t>万元，与上年持平，无增减变化。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公务用车购置及运行</w:t>
      </w:r>
      <w:r>
        <w:rPr>
          <w:rFonts w:hint="eastAsia" w:ascii="仿宋_GB2312" w:hAnsi="仿宋_GB2312" w:eastAsia="仿宋_GB2312" w:cs="仿宋_GB2312"/>
          <w:sz w:val="30"/>
          <w:szCs w:val="30"/>
          <w:lang w:val="en-US" w:eastAsia="zh-CN"/>
        </w:rPr>
        <w:t>维护</w:t>
      </w:r>
      <w:r>
        <w:rPr>
          <w:rFonts w:hint="eastAsia" w:ascii="仿宋_GB2312" w:hAnsi="仿宋_GB2312" w:eastAsia="仿宋_GB2312" w:cs="仿宋_GB2312"/>
          <w:sz w:val="30"/>
          <w:szCs w:val="30"/>
        </w:rPr>
        <w:t>费预算</w:t>
      </w:r>
      <w:bookmarkStart w:id="76" w:name="PO_part3A7Amount12"/>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万元，与上年持平，无增减变化，其中：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公务用车购置费预算0.00万元，与上年持平，无增减变化。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仿宋_GB2312"/>
          <w:color w:val="000000"/>
          <w:kern w:val="0"/>
          <w:sz w:val="32"/>
          <w:szCs w:val="32"/>
        </w:rPr>
      </w:pPr>
      <w:r>
        <w:rPr>
          <w:rFonts w:hint="eastAsia" w:ascii="仿宋_GB2312" w:hAnsi="仿宋_GB2312" w:eastAsia="仿宋_GB2312" w:cs="仿宋_GB2312"/>
          <w:sz w:val="30"/>
          <w:szCs w:val="30"/>
        </w:rPr>
        <w:t>公务用车运行</w:t>
      </w:r>
      <w:r>
        <w:rPr>
          <w:rFonts w:hint="eastAsia" w:ascii="仿宋_GB2312" w:hAnsi="仿宋_GB2312" w:eastAsia="仿宋_GB2312" w:cs="仿宋_GB2312"/>
          <w:sz w:val="30"/>
          <w:szCs w:val="30"/>
          <w:lang w:val="en-US" w:eastAsia="zh-CN"/>
        </w:rPr>
        <w:t>维护</w:t>
      </w:r>
      <w:r>
        <w:rPr>
          <w:rFonts w:hint="eastAsia" w:ascii="仿宋_GB2312" w:hAnsi="仿宋_GB2312" w:eastAsia="仿宋_GB2312" w:cs="仿宋_GB2312"/>
          <w:sz w:val="30"/>
          <w:szCs w:val="30"/>
        </w:rPr>
        <w:t>费预算0.00万元，与上年持平，无增减变化。</w:t>
      </w:r>
      <w:bookmarkStart w:id="77" w:name="PO_part3A7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77"/>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政府性基金预算支出情况说明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百色市反腐倡廉教育基地管理中心 2025</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没有政府性基金预算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rPr>
        <w:t>国有资本经营预算支出情况说明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百色市反腐倡廉教育基地管理中心 2025</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没有国有资本经营预算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rPr>
        <w:t>其他重要事项说明</w:t>
      </w:r>
    </w:p>
    <w:p>
      <w:pPr>
        <w:ind w:left="630"/>
        <w:outlineLvl w:val="2"/>
        <w:rPr>
          <w:rFonts w:hint="eastAsia" w:ascii="黑体" w:hAnsi="黑体" w:eastAsia="黑体" w:cs="黑体"/>
          <w:sz w:val="32"/>
          <w:szCs w:val="32"/>
        </w:rPr>
      </w:pPr>
      <w:r>
        <w:rPr>
          <w:rFonts w:hint="eastAsia" w:ascii="黑体" w:hAnsi="黑体" w:eastAsia="黑体" w:cs="黑体"/>
          <w:sz w:val="32"/>
          <w:szCs w:val="32"/>
        </w:rPr>
        <w:t>（一）机关运行经费安排情况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年，本单位事业单位相关运行费用28.6万元，比上年增加0万元，增长0.00%，主要原因是:</w:t>
      </w:r>
      <w:r>
        <w:rPr>
          <w:rFonts w:hint="eastAsia" w:ascii="仿宋_GB2312" w:hAnsi="仿宋_GB2312" w:eastAsia="仿宋_GB2312" w:cs="仿宋_GB2312"/>
          <w:sz w:val="30"/>
          <w:szCs w:val="30"/>
          <w:lang w:val="en-US" w:eastAsia="zh-CN"/>
        </w:rPr>
        <w:t>预算人数同比无增减变化。</w:t>
      </w:r>
    </w:p>
    <w:p>
      <w:pPr>
        <w:ind w:left="630"/>
        <w:outlineLvl w:val="2"/>
        <w:rPr>
          <w:rFonts w:hint="eastAsia" w:ascii="黑体" w:hAnsi="黑体" w:eastAsia="黑体" w:cs="黑体"/>
          <w:sz w:val="32"/>
          <w:szCs w:val="32"/>
        </w:rPr>
      </w:pPr>
      <w:r>
        <w:rPr>
          <w:rFonts w:hint="eastAsia" w:ascii="黑体" w:hAnsi="黑体" w:eastAsia="黑体" w:cs="黑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78" w:name="PO_part3A10Year2"/>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年本单位政府采购安排0万元，</w:t>
      </w:r>
      <w:bookmarkStart w:id="79" w:name="PO_part3A10IncAmount2"/>
      <w:r>
        <w:rPr>
          <w:rFonts w:hint="eastAsia" w:ascii="仿宋_GB2312" w:hAnsi="仿宋_GB2312" w:eastAsia="仿宋_GB2312" w:cs="仿宋_GB2312"/>
          <w:sz w:val="30"/>
          <w:szCs w:val="30"/>
        </w:rPr>
        <w:t>比上年00万元，00%。</w:t>
      </w:r>
      <w:r>
        <w:rPr>
          <w:rFonts w:hint="eastAsia"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其中：政府集中采购预算0万元，分散采购预算0万元</w:t>
      </w:r>
      <w:bookmarkStart w:id="80" w:name="PO_part3A10IncAmount4"/>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8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rPr>
        <w:t>按政府采购项目类型分为货物类采购、工程类采购和服务类采购三种类型。其中：货物类采购预算0万元，工程类采购预算0万元，服务类采购预算0万元等。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rPr>
        <w:t>无</w:t>
      </w:r>
      <w:r>
        <w:rPr>
          <w:rFonts w:hint="eastAsia" w:ascii="仿宋_GB2312" w:hAnsi="仿宋_GB2312" w:eastAsia="仿宋_GB2312" w:cs="仿宋_GB2312"/>
          <w:sz w:val="30"/>
          <w:szCs w:val="30"/>
          <w:lang w:eastAsia="zh-CN"/>
        </w:rPr>
        <w:t>。</w:t>
      </w:r>
    </w:p>
    <w:p>
      <w:pPr>
        <w:ind w:left="630"/>
        <w:outlineLvl w:val="2"/>
        <w:rPr>
          <w:rFonts w:hint="eastAsia" w:ascii="黑体" w:hAnsi="黑体" w:eastAsia="黑体" w:cs="黑体"/>
          <w:sz w:val="32"/>
          <w:szCs w:val="32"/>
          <w:lang w:eastAsia="zh-CN"/>
        </w:rPr>
      </w:pPr>
      <w:r>
        <w:rPr>
          <w:rFonts w:hint="eastAsia" w:ascii="黑体" w:hAnsi="黑体" w:eastAsia="黑体" w:cs="黑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截至2024年12月31日，我单位实有在编车辆0辆，其中：一般公务用车0辆，执法执勤用车0辆，其他业务用车0辆。车辆具体占用情况如下：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百色市反腐倡廉教育基地管理中心</w:t>
      </w:r>
      <w:r>
        <w:rPr>
          <w:rFonts w:hint="eastAsia" w:ascii="仿宋_GB2312" w:hAnsi="仿宋_GB2312" w:eastAsia="仿宋_GB2312" w:cs="仿宋_GB2312"/>
          <w:sz w:val="30"/>
          <w:szCs w:val="30"/>
        </w:rPr>
        <w:t>单位0辆，包括0辆一般公务用车，0辆执法执勤用车，0辆其他业务用车。</w:t>
      </w:r>
    </w:p>
    <w:p>
      <w:pPr>
        <w:numPr>
          <w:ilvl w:val="0"/>
          <w:numId w:val="0"/>
        </w:numPr>
        <w:ind w:left="630" w:leftChars="0"/>
        <w:outlineLvl w:val="2"/>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）预算绩效目标等情况说明</w:t>
      </w:r>
      <w:bookmarkStart w:id="81" w:name="PO_part3A10IncReason2"/>
      <w:r>
        <w:rPr>
          <w:rFonts w:hint="eastAsia" w:ascii="仿宋_GB2312" w:hAnsi="仿宋_GB2312" w:eastAsia="仿宋_GB2312" w:cs="仿宋_GB2312"/>
          <w:sz w:val="32"/>
          <w:szCs w:val="32"/>
        </w:rPr>
        <w:t xml:space="preserve"> </w:t>
      </w:r>
      <w:bookmarkEnd w:id="8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1.我单位</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年所有项目支出全面实施绩效目标管理，涉及市本级项目0个，预算资金0万元。绩效目标情况详见报表10。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2.重点项目预算绩效目标说明。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重点项目一：项目名称无，预算资金0万元，</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年度绩效目标为无，绩效指标情况详见报表11</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outlineLvl w:val="0"/>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left="1"/>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一、财政拨款收入</w:t>
      </w:r>
      <w:r>
        <w:rPr>
          <w:rFonts w:hint="eastAsia" w:ascii="仿宋_GB2312" w:eastAsia="仿宋_GB2312"/>
          <w:b/>
          <w:sz w:val="32"/>
          <w:szCs w:val="32"/>
        </w:rPr>
        <w:t>：</w:t>
      </w:r>
      <w:r>
        <w:rPr>
          <w:rFonts w:hint="eastAsia" w:ascii="仿宋_GB2312" w:eastAsia="仿宋_GB2312"/>
          <w:sz w:val="32"/>
          <w:szCs w:val="32"/>
          <w:lang w:val="en-US" w:eastAsia="zh-CN"/>
        </w:rPr>
        <w:t>指预算单位从本级财政部门取得的财政预算资金收入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二、事业收入</w:t>
      </w:r>
      <w:r>
        <w:rPr>
          <w:rFonts w:hint="eastAsia" w:ascii="仿宋_GB2312" w:eastAsia="仿宋_GB2312"/>
          <w:b/>
          <w:sz w:val="32"/>
          <w:szCs w:val="32"/>
        </w:rPr>
        <w:t>：</w:t>
      </w:r>
      <w:r>
        <w:rPr>
          <w:rFonts w:hint="eastAsia" w:ascii="仿宋_GB2312" w:eastAsia="仿宋_GB2312"/>
          <w:sz w:val="32"/>
          <w:szCs w:val="32"/>
          <w:lang w:val="en-US" w:eastAsia="zh-CN"/>
        </w:rPr>
        <w:t>指事业单位开展专业业务活动及辅助活动所取得的收入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三、经营收入</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四、其他收入</w:t>
      </w:r>
      <w:r>
        <w:rPr>
          <w:rFonts w:hint="eastAsia" w:ascii="仿宋_GB2312" w:eastAsia="仿宋_GB2312"/>
          <w:b/>
          <w:sz w:val="32"/>
          <w:szCs w:val="32"/>
        </w:rPr>
        <w:t>：</w:t>
      </w:r>
      <w:r>
        <w:rPr>
          <w:rFonts w:hint="eastAsia" w:ascii="仿宋_GB2312" w:eastAsia="仿宋_GB2312"/>
          <w:sz w:val="32"/>
          <w:szCs w:val="32"/>
          <w:lang w:val="en-US" w:eastAsia="zh-CN"/>
        </w:rPr>
        <w:t>指除上述“财政拨款收入”、“事业收入”、“经营收入”等以外的收入。主要是非本级财政拨款、存款利息收入、事业单位固定资产出租收入等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五、用事业基金弥补收支差额</w:t>
      </w:r>
      <w:r>
        <w:rPr>
          <w:rFonts w:hint="eastAsia" w:ascii="仿宋_GB2312" w:eastAsia="仿宋_GB2312"/>
          <w:b/>
          <w:sz w:val="32"/>
          <w:szCs w:val="32"/>
        </w:rPr>
        <w:t>：</w:t>
      </w:r>
      <w:r>
        <w:rPr>
          <w:rFonts w:hint="eastAsia" w:ascii="仿宋_GB2312" w:eastAsia="仿宋_GB2312"/>
          <w:sz w:val="32"/>
          <w:szCs w:val="32"/>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六、年初结转和结余</w:t>
      </w:r>
      <w:r>
        <w:rPr>
          <w:rFonts w:hint="eastAsia" w:ascii="仿宋_GB2312" w:eastAsia="仿宋_GB2312"/>
          <w:b/>
          <w:sz w:val="32"/>
          <w:szCs w:val="32"/>
        </w:rPr>
        <w:t>：</w:t>
      </w:r>
      <w:r>
        <w:rPr>
          <w:rFonts w:hint="eastAsia" w:ascii="仿宋_GB2312" w:eastAsia="仿宋_GB2312"/>
          <w:sz w:val="32"/>
          <w:szCs w:val="32"/>
          <w:lang w:val="en-US" w:eastAsia="zh-CN"/>
        </w:rPr>
        <w:t>指以前年度尚未完成、结转到本年按有关规定继续使用的资金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七、结余分配</w:t>
      </w:r>
      <w:r>
        <w:rPr>
          <w:rFonts w:hint="eastAsia" w:ascii="仿宋_GB2312" w:eastAsia="仿宋_GB2312"/>
          <w:b/>
          <w:sz w:val="32"/>
          <w:szCs w:val="32"/>
        </w:rPr>
        <w:t>：</w:t>
      </w:r>
      <w:r>
        <w:rPr>
          <w:rFonts w:hint="eastAsia" w:ascii="仿宋_GB2312" w:eastAsia="仿宋_GB2312"/>
          <w:sz w:val="32"/>
          <w:szCs w:val="32"/>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八、年末结转和结余</w:t>
      </w:r>
      <w:r>
        <w:rPr>
          <w:rFonts w:hint="eastAsia" w:ascii="仿宋_GB2312" w:eastAsia="仿宋_GB2312"/>
          <w:b/>
          <w:sz w:val="32"/>
          <w:szCs w:val="32"/>
        </w:rPr>
        <w:t>：</w:t>
      </w:r>
      <w:r>
        <w:rPr>
          <w:rFonts w:hint="eastAsia" w:ascii="仿宋_GB2312" w:eastAsia="仿宋_GB2312"/>
          <w:sz w:val="32"/>
          <w:szCs w:val="32"/>
          <w:lang w:val="en-US" w:eastAsia="zh-CN"/>
        </w:rPr>
        <w:t>指本年度或以前年度预算安排、因客观条件发生变化无法按原计划实施，需要延迟到以后年度按有关规定继续使用的资金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九、基本支出</w:t>
      </w:r>
      <w:r>
        <w:rPr>
          <w:rFonts w:hint="eastAsia" w:ascii="仿宋_GB2312" w:eastAsia="仿宋_GB2312"/>
          <w:b/>
          <w:sz w:val="32"/>
          <w:szCs w:val="32"/>
        </w:rPr>
        <w:t>：</w:t>
      </w:r>
      <w:r>
        <w:rPr>
          <w:rFonts w:hint="eastAsia" w:ascii="仿宋_GB2312" w:eastAsia="仿宋_GB2312"/>
          <w:sz w:val="32"/>
          <w:szCs w:val="32"/>
          <w:lang w:val="en-US" w:eastAsia="zh-CN"/>
        </w:rPr>
        <w:t>指为保障机构正常运转、完成日常工作任务而发生的人员支出和公用支出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十、项目支出</w:t>
      </w:r>
      <w:r>
        <w:rPr>
          <w:rFonts w:hint="eastAsia" w:ascii="仿宋_GB2312" w:eastAsia="仿宋_GB2312"/>
          <w:b/>
          <w:sz w:val="32"/>
          <w:szCs w:val="32"/>
        </w:rPr>
        <w:t>：</w:t>
      </w:r>
      <w:r>
        <w:rPr>
          <w:rFonts w:hint="eastAsia" w:ascii="仿宋_GB2312" w:eastAsia="仿宋_GB2312"/>
          <w:sz w:val="32"/>
          <w:szCs w:val="32"/>
          <w:lang w:val="en-US" w:eastAsia="zh-CN"/>
        </w:rPr>
        <w:t>指在基本支出之外为完成特定行政任务和事业发展目标所发生的支出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十一、经营支出</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十二、“三公”经费</w:t>
      </w:r>
      <w:r>
        <w:rPr>
          <w:rFonts w:hint="eastAsia" w:ascii="仿宋_GB2312" w:eastAsia="仿宋_GB2312"/>
          <w:b/>
          <w:sz w:val="32"/>
          <w:szCs w:val="32"/>
        </w:rPr>
        <w:t>：</w:t>
      </w:r>
      <w:r>
        <w:rPr>
          <w:rFonts w:hint="eastAsia" w:ascii="仿宋_GB2312" w:eastAsia="仿宋_GB2312"/>
          <w:sz w:val="32"/>
          <w:szCs w:val="32"/>
          <w:lang w:val="en-US" w:eastAsia="zh-CN"/>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十三、机关运行经费</w:t>
      </w:r>
      <w:r>
        <w:rPr>
          <w:rFonts w:hint="eastAsia" w:ascii="仿宋_GB2312" w:eastAsia="仿宋_GB2312"/>
          <w:b/>
          <w:sz w:val="32"/>
          <w:szCs w:val="32"/>
        </w:rPr>
        <w:t>：</w:t>
      </w:r>
      <w:r>
        <w:rPr>
          <w:rFonts w:hint="eastAsia" w:ascii="仿宋_GB2312" w:eastAsia="仿宋_GB2312"/>
          <w:sz w:val="32"/>
          <w:szCs w:val="32"/>
          <w:lang w:val="en-US" w:eastAsia="zh-CN"/>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ZWMzNTJkZTc2YjU0YTIxOGQwN2RkZTIzYzY1YzE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7077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8340C"/>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B4089E"/>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84027"/>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DD7E3C"/>
    <w:rsid w:val="0FF36C20"/>
    <w:rsid w:val="10010DE7"/>
    <w:rsid w:val="101146EA"/>
    <w:rsid w:val="10117079"/>
    <w:rsid w:val="101747CE"/>
    <w:rsid w:val="10305890"/>
    <w:rsid w:val="103435D2"/>
    <w:rsid w:val="103C005D"/>
    <w:rsid w:val="103F4B2D"/>
    <w:rsid w:val="104E4A31"/>
    <w:rsid w:val="104F21BA"/>
    <w:rsid w:val="1052657B"/>
    <w:rsid w:val="1053332C"/>
    <w:rsid w:val="10563548"/>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5378FB"/>
    <w:rsid w:val="11637337"/>
    <w:rsid w:val="11701E29"/>
    <w:rsid w:val="11717704"/>
    <w:rsid w:val="117A14B8"/>
    <w:rsid w:val="117A2E35"/>
    <w:rsid w:val="11862280"/>
    <w:rsid w:val="119A56B6"/>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922832"/>
    <w:rsid w:val="129465AA"/>
    <w:rsid w:val="129701D5"/>
    <w:rsid w:val="129B7767"/>
    <w:rsid w:val="129C720C"/>
    <w:rsid w:val="12AF5192"/>
    <w:rsid w:val="12C616AB"/>
    <w:rsid w:val="12DD1CFF"/>
    <w:rsid w:val="12DD7310"/>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8F6C2A"/>
    <w:rsid w:val="16A0311C"/>
    <w:rsid w:val="16C44047"/>
    <w:rsid w:val="16C62AAA"/>
    <w:rsid w:val="16DE0A1B"/>
    <w:rsid w:val="16EA7853"/>
    <w:rsid w:val="16FD6AE2"/>
    <w:rsid w:val="17057A2A"/>
    <w:rsid w:val="17410B14"/>
    <w:rsid w:val="17577A16"/>
    <w:rsid w:val="175E2CE2"/>
    <w:rsid w:val="17664476"/>
    <w:rsid w:val="176B0226"/>
    <w:rsid w:val="176F549D"/>
    <w:rsid w:val="17777B16"/>
    <w:rsid w:val="1783099B"/>
    <w:rsid w:val="178F5592"/>
    <w:rsid w:val="17945B62"/>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822A00"/>
    <w:rsid w:val="18964231"/>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EF7568"/>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EEE2B9E"/>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DF0EC4"/>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179EE"/>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2A296B"/>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8E29C7"/>
    <w:rsid w:val="349047F7"/>
    <w:rsid w:val="34AC10D9"/>
    <w:rsid w:val="34AC4388"/>
    <w:rsid w:val="34B22FF0"/>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79313A"/>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1672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263DC"/>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9878B7"/>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74179F"/>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EF2E80"/>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017D9"/>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5D758B"/>
    <w:rsid w:val="51861D6F"/>
    <w:rsid w:val="51890380"/>
    <w:rsid w:val="51894824"/>
    <w:rsid w:val="5196078D"/>
    <w:rsid w:val="51DB0FC0"/>
    <w:rsid w:val="51F223CA"/>
    <w:rsid w:val="52016370"/>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AC671B"/>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552"/>
    <w:rsid w:val="598A113A"/>
    <w:rsid w:val="598F04FE"/>
    <w:rsid w:val="599D197A"/>
    <w:rsid w:val="59A71F8F"/>
    <w:rsid w:val="59AB01F8"/>
    <w:rsid w:val="59B652B4"/>
    <w:rsid w:val="59B9431E"/>
    <w:rsid w:val="59C53F20"/>
    <w:rsid w:val="59C97EB4"/>
    <w:rsid w:val="59D40607"/>
    <w:rsid w:val="59D41713"/>
    <w:rsid w:val="59D625D1"/>
    <w:rsid w:val="59DD570D"/>
    <w:rsid w:val="59E22D24"/>
    <w:rsid w:val="59FC1CC9"/>
    <w:rsid w:val="5A08675B"/>
    <w:rsid w:val="5A2A0227"/>
    <w:rsid w:val="5A3115B5"/>
    <w:rsid w:val="5A405C9C"/>
    <w:rsid w:val="5A490FF5"/>
    <w:rsid w:val="5A537A69"/>
    <w:rsid w:val="5A5A57AD"/>
    <w:rsid w:val="5A6A5AF8"/>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F35BF"/>
    <w:rsid w:val="5DD230AF"/>
    <w:rsid w:val="5DF66BDC"/>
    <w:rsid w:val="5DFB359E"/>
    <w:rsid w:val="5E2B4A69"/>
    <w:rsid w:val="5E394EDC"/>
    <w:rsid w:val="5E443FAD"/>
    <w:rsid w:val="5E727157"/>
    <w:rsid w:val="5E772DB2"/>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7D54A1"/>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34BC8"/>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14103"/>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AF05909"/>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B31B99"/>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5E2E34"/>
    <w:rsid w:val="6E661D1D"/>
    <w:rsid w:val="6E684718"/>
    <w:rsid w:val="6E981591"/>
    <w:rsid w:val="6EAA39A2"/>
    <w:rsid w:val="6EB365E5"/>
    <w:rsid w:val="6ECC6DC8"/>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00A58"/>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CC57C7"/>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E0063"/>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860D9"/>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next w:val="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next w:val="1"/>
    <w:unhideWhenUsed/>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themeColor="hyperlink"/>
      <w:u w:val="single"/>
      <w14:textFill>
        <w14:solidFill>
          <w14:schemeClr w14:val="hlink"/>
        </w14:solidFill>
      </w14:textFill>
    </w:rPr>
  </w:style>
  <w:style w:type="character" w:customStyle="1" w:styleId="15">
    <w:name w:val="页脚 字符"/>
    <w:link w:val="8"/>
    <w:qFormat/>
    <w:uiPriority w:val="0"/>
    <w:rPr>
      <w:rFonts w:ascii="Calibri" w:hAnsi="Calibri" w:eastAsia="宋体" w:cs="Times New Roman"/>
      <w:kern w:val="2"/>
      <w:sz w:val="18"/>
      <w:szCs w:val="18"/>
    </w:rPr>
  </w:style>
  <w:style w:type="character" w:customStyle="1" w:styleId="16">
    <w:name w:val="页眉 字符"/>
    <w:link w:val="9"/>
    <w:qFormat/>
    <w:uiPriority w:val="0"/>
    <w:rPr>
      <w:rFonts w:ascii="Calibri" w:hAnsi="Calibri" w:eastAsia="宋体" w:cs="Times New Roman"/>
      <w:kern w:val="2"/>
      <w:sz w:val="18"/>
      <w:szCs w:val="18"/>
    </w:rPr>
  </w:style>
  <w:style w:type="character" w:customStyle="1" w:styleId="17">
    <w:name w:val="_Style 8"/>
    <w:qFormat/>
    <w:uiPriority w:val="31"/>
    <w:rPr>
      <w:smallCaps/>
      <w:color w:val="5A5A5A"/>
    </w:rPr>
  </w:style>
  <w:style w:type="paragraph" w:customStyle="1" w:styleId="1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179</Words>
  <Characters>529</Characters>
  <Lines>82</Lines>
  <Paragraphs>23</Paragraphs>
  <TotalTime>6</TotalTime>
  <ScaleCrop>false</ScaleCrop>
  <LinksUpToDate>false</LinksUpToDate>
  <CharactersWithSpaces>596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2023-01-29T10:12:00Z</dcterms:created>
  <dc:creator>Administrator</dc:creator>
  <cp:lastModifiedBy>PC</cp:lastModifiedBy>
  <cp:lastPrinted>2025-04-25T00:32:00Z</cp:lastPrinted>
  <dcterms:modified xsi:type="dcterms:W3CDTF">2025-04-27T01:29:37Z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EF7E255193C14E85AD5D282B939CFD45_13</vt:lpwstr>
  </property>
  <property fmtid="{D5CDD505-2E9C-101B-9397-08002B2CF9AE}" pid="4" name="KSOTemplateDocerSaveRecord">
    <vt:lpwstr>eyJoZGlkIjoiMzU2NmI3MjI5ZGZjYTI3ZTc5NWJkNTU5NmI5MDIzZjgiLCJ1c2VySWQiOiI5ODMzMjAxOTAifQ==</vt:lpwstr>
  </property>
</Properties>
</file>